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F3DCB" w:rsidR="00A91BAF" w:rsidP="0FD163F1" w:rsidRDefault="00EC5880" w14:paraId="51FDA381" w14:textId="1FD09D25">
      <w:pPr>
        <w:pStyle w:val="Heading1"/>
        <w:rPr>
          <w:b w:val="1"/>
          <w:bCs w:val="1"/>
          <w:color w:val="16A881"/>
          <w:sz w:val="32"/>
          <w:szCs w:val="32"/>
        </w:rPr>
      </w:pPr>
      <w:r w:rsidRPr="0FD163F1" w:rsidR="00EC5880">
        <w:rPr>
          <w:color w:val="16A881"/>
        </w:rPr>
        <w:t xml:space="preserve">Trainer </w:t>
      </w:r>
      <w:r w:rsidRPr="0FD163F1" w:rsidR="358ACDF9">
        <w:rPr>
          <w:color w:val="16A881"/>
        </w:rPr>
        <w:t>n</w:t>
      </w:r>
      <w:r w:rsidRPr="0FD163F1" w:rsidR="00EC5880">
        <w:rPr>
          <w:color w:val="16A881"/>
        </w:rPr>
        <w:t xml:space="preserve">otes – Module: </w:t>
      </w:r>
      <w:r w:rsidRPr="0FD163F1" w:rsidR="007765E6">
        <w:rPr>
          <w:color w:val="16A881"/>
        </w:rPr>
        <w:t xml:space="preserve">Section </w:t>
      </w:r>
      <w:r w:rsidRPr="0FD163F1" w:rsidR="007765E6">
        <w:rPr>
          <w:color w:val="16A881"/>
        </w:rPr>
        <w:t>1a – CY</w:t>
      </w:r>
      <w:r w:rsidRPr="0FD163F1" w:rsidR="007765E6">
        <w:rPr>
          <w:color w:val="16A881"/>
        </w:rPr>
        <w:t xml:space="preserve">P </w:t>
      </w:r>
      <w:r w:rsidRPr="0FD163F1" w:rsidR="0A7A0EB5">
        <w:rPr>
          <w:noProof w:val="0"/>
          <w:color w:val="16A881"/>
          <w:lang w:val="en-GB"/>
        </w:rPr>
        <w:t>–</w:t>
      </w:r>
      <w:r w:rsidRPr="0FD163F1" w:rsidR="007765E6">
        <w:rPr>
          <w:color w:val="16A881"/>
        </w:rPr>
        <w:t xml:space="preserve"> </w:t>
      </w:r>
      <w:r w:rsidRPr="0FD163F1" w:rsidR="00A84531">
        <w:rPr>
          <w:color w:val="16A881"/>
        </w:rPr>
        <w:t>Safe</w:t>
      </w:r>
      <w:r w:rsidRPr="0FD163F1" w:rsidR="00A84531">
        <w:rPr>
          <w:color w:val="16A881"/>
        </w:rPr>
        <w:t>g</w:t>
      </w:r>
      <w:r w:rsidRPr="0FD163F1" w:rsidR="00A84531">
        <w:rPr>
          <w:color w:val="16A881"/>
        </w:rPr>
        <w:t xml:space="preserve">uarding </w:t>
      </w:r>
      <w:r w:rsidRPr="0FD163F1" w:rsidR="23246C16">
        <w:rPr>
          <w:color w:val="16A881"/>
        </w:rPr>
        <w:t>p</w:t>
      </w:r>
      <w:r w:rsidRPr="0FD163F1" w:rsidR="00A84531">
        <w:rPr>
          <w:color w:val="16A881"/>
        </w:rPr>
        <w:t>rinciples</w:t>
      </w:r>
    </w:p>
    <w:p w:rsidRPr="00A84531" w:rsidR="00EC5880" w:rsidP="008F3DCB" w:rsidRDefault="00EC5880" w14:paraId="4BB8EE9F" w14:textId="3C9A19B7">
      <w:pPr>
        <w:pStyle w:val="ListParagraph"/>
        <w:numPr>
          <w:ilvl w:val="0"/>
          <w:numId w:val="6"/>
        </w:numPr>
        <w:rPr>
          <w:sz w:val="24"/>
          <w:szCs w:val="24"/>
        </w:rPr>
      </w:pPr>
      <w:r w:rsidRPr="2FA1B01A" w:rsidR="00EC5880">
        <w:rPr>
          <w:sz w:val="24"/>
          <w:szCs w:val="24"/>
        </w:rPr>
        <w:t xml:space="preserve">PowerPoint of </w:t>
      </w:r>
      <w:r w:rsidRPr="2FA1B01A" w:rsidR="622D44F1">
        <w:rPr>
          <w:sz w:val="24"/>
          <w:szCs w:val="24"/>
        </w:rPr>
        <w:t>m</w:t>
      </w:r>
      <w:r w:rsidRPr="2FA1B01A" w:rsidR="00EC5880">
        <w:rPr>
          <w:sz w:val="24"/>
          <w:szCs w:val="24"/>
        </w:rPr>
        <w:t>odule</w:t>
      </w:r>
    </w:p>
    <w:p w:rsidRPr="00EC5880" w:rsidR="00EC5880" w:rsidP="008F3DCB" w:rsidRDefault="00EC5880" w14:paraId="51F60941" w14:textId="2744EAF7">
      <w:pPr>
        <w:pStyle w:val="ListParagraph"/>
        <w:numPr>
          <w:ilvl w:val="0"/>
          <w:numId w:val="6"/>
        </w:numPr>
        <w:rPr>
          <w:sz w:val="24"/>
          <w:szCs w:val="24"/>
        </w:rPr>
      </w:pPr>
      <w:r w:rsidRPr="5ACF17FD" w:rsidR="00EC5880">
        <w:rPr>
          <w:sz w:val="24"/>
          <w:szCs w:val="24"/>
        </w:rPr>
        <w:t>Wales Safeguarding Procedures App on phone or tablet to refer to throughout the module</w:t>
      </w:r>
    </w:p>
    <w:p w:rsidRPr="007765E6" w:rsidR="00307B70" w:rsidP="00307B70" w:rsidRDefault="00307B70" w14:paraId="3B2B5469" w14:textId="77777777">
      <w:pPr>
        <w:spacing w:after="120" w:line="240" w:lineRule="auto"/>
        <w:rPr>
          <w:sz w:val="24"/>
          <w:szCs w:val="24"/>
        </w:rPr>
      </w:pPr>
    </w:p>
    <w:tbl>
      <w:tblPr>
        <w:tblStyle w:val="TableGrid"/>
        <w:tblW w:w="14760" w:type="dxa"/>
        <w:tblBorders>
          <w:top w:val="single" w:color="13B790" w:sz="4" w:space="0"/>
          <w:left w:val="single" w:color="13B790" w:sz="4" w:space="0"/>
          <w:bottom w:val="single" w:color="13B790" w:sz="4" w:space="0"/>
          <w:right w:val="single" w:color="13B790" w:sz="4" w:space="0"/>
          <w:insideH w:val="single" w:color="13B790" w:sz="4" w:space="0"/>
          <w:insideV w:val="single" w:color="13B790" w:sz="4" w:space="0"/>
        </w:tblBorders>
        <w:tblLayout w:type="fixed"/>
        <w:tblLook w:val="04A0" w:firstRow="1" w:lastRow="0" w:firstColumn="1" w:lastColumn="0" w:noHBand="0" w:noVBand="1"/>
      </w:tblPr>
      <w:tblGrid>
        <w:gridCol w:w="3397"/>
        <w:gridCol w:w="2835"/>
        <w:gridCol w:w="8528"/>
      </w:tblGrid>
      <w:tr w:rsidRPr="00EC5880" w:rsidR="00CE11EB" w:rsidTr="0FD163F1" w14:paraId="5CFE6EA1" w14:textId="22E6D8AD">
        <w:tc>
          <w:tcPr>
            <w:tcW w:w="3397" w:type="dxa"/>
            <w:tcMar/>
          </w:tcPr>
          <w:p w:rsidRPr="008F3DCB" w:rsidR="00CE11EB" w:rsidP="0FD163F1" w:rsidRDefault="00CE11EB" w14:paraId="500F7ACF" w14:textId="74B98E24">
            <w:pPr>
              <w:pStyle w:val="Heading2"/>
              <w:rPr>
                <w:b w:val="1"/>
                <w:bCs w:val="1"/>
                <w:color w:val="16A881"/>
                <w:sz w:val="24"/>
                <w:szCs w:val="24"/>
              </w:rPr>
            </w:pPr>
            <w:r w:rsidRPr="0FD163F1" w:rsidR="00CE11EB">
              <w:rPr>
                <w:color w:val="16A881"/>
              </w:rPr>
              <w:t>Slide</w:t>
            </w:r>
          </w:p>
        </w:tc>
        <w:tc>
          <w:tcPr>
            <w:tcW w:w="2835" w:type="dxa"/>
            <w:tcMar/>
          </w:tcPr>
          <w:p w:rsidRPr="008F3DCB" w:rsidR="00CE11EB" w:rsidP="0FD163F1" w:rsidRDefault="00CE11EB" w14:paraId="7CE73335" w14:textId="4A8D4E27">
            <w:pPr>
              <w:pStyle w:val="Heading2"/>
              <w:rPr>
                <w:b w:val="1"/>
                <w:bCs w:val="1"/>
                <w:color w:val="16A881"/>
                <w:sz w:val="24"/>
                <w:szCs w:val="24"/>
              </w:rPr>
            </w:pPr>
            <w:r w:rsidRPr="0FD163F1" w:rsidR="00CE11EB">
              <w:rPr>
                <w:color w:val="16A881"/>
              </w:rPr>
              <w:t>References</w:t>
            </w:r>
          </w:p>
        </w:tc>
        <w:tc>
          <w:tcPr>
            <w:tcW w:w="8528" w:type="dxa"/>
            <w:tcMar/>
          </w:tcPr>
          <w:p w:rsidRPr="008F3DCB" w:rsidR="00CE11EB" w:rsidP="0FD163F1" w:rsidRDefault="00CE11EB" w14:paraId="4CA47A8E" w14:textId="2BFB11CC">
            <w:pPr>
              <w:pStyle w:val="Heading2"/>
              <w:rPr>
                <w:rFonts w:cs="Arial" w:cstheme="minorAscii"/>
                <w:b w:val="1"/>
                <w:bCs w:val="1"/>
                <w:color w:val="16A881"/>
                <w:sz w:val="24"/>
                <w:szCs w:val="24"/>
              </w:rPr>
            </w:pPr>
            <w:r w:rsidRPr="0FD163F1" w:rsidR="00CE11EB">
              <w:rPr>
                <w:color w:val="16A881"/>
              </w:rPr>
              <w:t>Note</w:t>
            </w:r>
            <w:r w:rsidRPr="0FD163F1" w:rsidR="00CE11EB">
              <w:rPr>
                <w:color w:val="16A881"/>
              </w:rPr>
              <w:t>s</w:t>
            </w:r>
            <w:r w:rsidRPr="0FD163F1" w:rsidR="00CE11EB">
              <w:rPr>
                <w:color w:val="16A881"/>
              </w:rPr>
              <w:t xml:space="preserve"> </w:t>
            </w:r>
          </w:p>
        </w:tc>
      </w:tr>
      <w:tr w:rsidR="00CE11EB" w:rsidTr="0FD163F1" w14:paraId="206B8E13" w14:textId="62C2C2C9">
        <w:tc>
          <w:tcPr>
            <w:tcW w:w="3397" w:type="dxa"/>
            <w:tcMar/>
          </w:tcPr>
          <w:p w:rsidRPr="00EC5880" w:rsidR="00CE11EB" w:rsidP="00EC5880" w:rsidRDefault="005264F2" w14:paraId="27E6F68C" w14:textId="33E106C7">
            <w:pPr>
              <w:spacing w:before="60" w:after="120"/>
            </w:pPr>
            <w:r w:rsidR="51B2A9BB">
              <w:rPr/>
              <w:t>1</w:t>
            </w:r>
          </w:p>
        </w:tc>
        <w:tc>
          <w:tcPr>
            <w:tcW w:w="2835" w:type="dxa"/>
            <w:tcMar/>
          </w:tcPr>
          <w:p w:rsidR="349338B2" w:rsidP="5ACF17FD" w:rsidRDefault="349338B2" w14:paraId="0D8CC469" w14:textId="0595EE0C">
            <w:pPr>
              <w:pStyle w:val="Normal"/>
              <w:bidi w:val="0"/>
              <w:spacing w:before="60" w:beforeAutospacing="off" w:after="120" w:afterAutospacing="off" w:line="259" w:lineRule="auto"/>
              <w:ind w:left="0" w:right="0"/>
              <w:jc w:val="left"/>
              <w:rPr>
                <w:sz w:val="24"/>
                <w:szCs w:val="24"/>
              </w:rPr>
            </w:pPr>
            <w:r w:rsidRPr="5ACF17FD" w:rsidR="349338B2">
              <w:rPr>
                <w:sz w:val="24"/>
                <w:szCs w:val="24"/>
              </w:rPr>
              <w:t>S</w:t>
            </w:r>
            <w:r w:rsidRPr="5ACF17FD" w:rsidR="0CC195A2">
              <w:rPr>
                <w:sz w:val="24"/>
                <w:szCs w:val="24"/>
              </w:rPr>
              <w:t>ection 1</w:t>
            </w:r>
            <w:r w:rsidRPr="5ACF17FD" w:rsidR="349338B2">
              <w:rPr>
                <w:sz w:val="24"/>
                <w:szCs w:val="24"/>
              </w:rPr>
              <w:t>: S</w:t>
            </w:r>
            <w:r w:rsidRPr="5ACF17FD" w:rsidR="24F3568B">
              <w:rPr>
                <w:sz w:val="24"/>
                <w:szCs w:val="24"/>
              </w:rPr>
              <w:t xml:space="preserve">afeguarding </w:t>
            </w:r>
            <w:r w:rsidRPr="5ACF17FD" w:rsidR="621645D5">
              <w:rPr>
                <w:sz w:val="24"/>
                <w:szCs w:val="24"/>
              </w:rPr>
              <w:t>p</w:t>
            </w:r>
            <w:r w:rsidRPr="5ACF17FD" w:rsidR="24F3568B">
              <w:rPr>
                <w:sz w:val="24"/>
                <w:szCs w:val="24"/>
              </w:rPr>
              <w:t xml:space="preserve">rinciples and </w:t>
            </w:r>
            <w:r w:rsidRPr="5ACF17FD" w:rsidR="16667BC7">
              <w:rPr>
                <w:sz w:val="24"/>
                <w:szCs w:val="24"/>
              </w:rPr>
              <w:t>e</w:t>
            </w:r>
            <w:r w:rsidRPr="5ACF17FD" w:rsidR="24F3568B">
              <w:rPr>
                <w:sz w:val="24"/>
                <w:szCs w:val="24"/>
              </w:rPr>
              <w:t xml:space="preserve">ffective </w:t>
            </w:r>
            <w:r w:rsidRPr="5ACF17FD" w:rsidR="7527F48E">
              <w:rPr>
                <w:sz w:val="24"/>
                <w:szCs w:val="24"/>
              </w:rPr>
              <w:t>p</w:t>
            </w:r>
            <w:r w:rsidRPr="5ACF17FD" w:rsidR="24F3568B">
              <w:rPr>
                <w:sz w:val="24"/>
                <w:szCs w:val="24"/>
              </w:rPr>
              <w:t>ractice</w:t>
            </w:r>
            <w:r w:rsidRPr="5ACF17FD" w:rsidR="349338B2">
              <w:rPr>
                <w:sz w:val="24"/>
                <w:szCs w:val="24"/>
              </w:rPr>
              <w:t xml:space="preserve">: </w:t>
            </w:r>
            <w:r w:rsidRPr="5ACF17FD" w:rsidR="2E9278DB">
              <w:rPr>
                <w:sz w:val="24"/>
                <w:szCs w:val="24"/>
              </w:rPr>
              <w:t>c</w:t>
            </w:r>
            <w:r w:rsidRPr="5ACF17FD" w:rsidR="4356A294">
              <w:rPr>
                <w:sz w:val="24"/>
                <w:szCs w:val="24"/>
              </w:rPr>
              <w:t>hildren</w:t>
            </w:r>
          </w:p>
          <w:p w:rsidRPr="00EC5880" w:rsidR="00AA2D98" w:rsidP="5ACF17FD" w:rsidRDefault="00B52AF3" w14:paraId="628D2D74" w14:textId="417EAEE1">
            <w:pPr>
              <w:spacing w:before="60" w:after="120"/>
              <w:rPr>
                <w:sz w:val="24"/>
                <w:szCs w:val="24"/>
              </w:rPr>
            </w:pPr>
          </w:p>
        </w:tc>
        <w:tc>
          <w:tcPr>
            <w:tcW w:w="8528" w:type="dxa"/>
            <w:tcMar/>
          </w:tcPr>
          <w:p w:rsidRPr="00F16FF7" w:rsidR="00F16FF7" w:rsidP="0FD163F1" w:rsidRDefault="00F16FF7" w14:paraId="59E62730" w14:textId="77777777">
            <w:pPr>
              <w:pStyle w:val="Heading3"/>
              <w:rPr>
                <w:rFonts w:cs="Arial" w:cstheme="minorAscii"/>
                <w:color w:val="auto"/>
                <w:sz w:val="24"/>
                <w:szCs w:val="24"/>
                <w:u w:val="single"/>
              </w:rPr>
            </w:pPr>
            <w:r w:rsidRPr="0FD163F1" w:rsidR="00F16FF7">
              <w:rPr>
                <w:color w:val="auto"/>
                <w:u w:val="single"/>
              </w:rPr>
              <w:t>Trainer to point out:</w:t>
            </w:r>
          </w:p>
          <w:p w:rsidRPr="00220FA4" w:rsidR="00CE11EB" w:rsidP="5ACF17FD" w:rsidRDefault="00F16FF7" w14:paraId="5D1597C0" w14:textId="55CA6E13">
            <w:pPr>
              <w:spacing w:after="120"/>
              <w:rPr>
                <w:rFonts w:cs="Arial" w:cstheme="minorAscii"/>
                <w:sz w:val="24"/>
                <w:szCs w:val="24"/>
              </w:rPr>
            </w:pPr>
            <w:r w:rsidRPr="5ACF17FD" w:rsidR="00F16FF7">
              <w:rPr>
                <w:rFonts w:cs="Arial" w:cstheme="minorAscii"/>
                <w:sz w:val="24"/>
                <w:szCs w:val="24"/>
              </w:rPr>
              <w:t xml:space="preserve">Effective practice, in line with legislation and guidance, is most likely to take place if there is </w:t>
            </w:r>
            <w:r w:rsidRPr="5ACF17FD" w:rsidR="00F16FF7">
              <w:rPr>
                <w:rFonts w:cs="Arial" w:cstheme="minorAscii"/>
                <w:b w:val="1"/>
                <w:bCs w:val="1"/>
                <w:sz w:val="24"/>
                <w:szCs w:val="24"/>
              </w:rPr>
              <w:t>consistency</w:t>
            </w:r>
            <w:r w:rsidRPr="5ACF17FD" w:rsidR="00F16FF7">
              <w:rPr>
                <w:rFonts w:cs="Arial" w:cstheme="minorAscii"/>
                <w:sz w:val="24"/>
                <w:szCs w:val="24"/>
              </w:rPr>
              <w:t xml:space="preserve"> between the principles underpinning legislation, guidance and those promoted in the procedures. </w:t>
            </w:r>
          </w:p>
        </w:tc>
      </w:tr>
      <w:tr w:rsidR="00CE11EB" w:rsidTr="0FD163F1" w14:paraId="5820E0EA" w14:textId="0159D6D8">
        <w:tc>
          <w:tcPr>
            <w:tcW w:w="3397" w:type="dxa"/>
            <w:tcMar/>
          </w:tcPr>
          <w:p w:rsidRPr="00EC5880" w:rsidR="00CE11EB" w:rsidP="00EC5880" w:rsidRDefault="00D80CEF" w14:paraId="593622E7" w14:textId="1833F31C">
            <w:pPr>
              <w:spacing w:before="60" w:after="120"/>
            </w:pPr>
            <w:r w:rsidR="798D9AC9">
              <w:rPr/>
              <w:t>2</w:t>
            </w:r>
          </w:p>
        </w:tc>
        <w:tc>
          <w:tcPr>
            <w:tcW w:w="2835" w:type="dxa"/>
            <w:tcMar/>
          </w:tcPr>
          <w:p w:rsidRPr="00EC5880" w:rsidR="00CE11EB" w:rsidP="00EC5880" w:rsidRDefault="00CE11EB" w14:paraId="0CE5D402" w14:textId="77777777">
            <w:pPr>
              <w:spacing w:before="60" w:after="120"/>
            </w:pPr>
          </w:p>
        </w:tc>
        <w:tc>
          <w:tcPr>
            <w:tcW w:w="8528" w:type="dxa"/>
            <w:tcMar/>
          </w:tcPr>
          <w:p w:rsidRPr="008E0110" w:rsidR="00D80CEF" w:rsidP="0FD163F1" w:rsidRDefault="00D80CEF" w14:paraId="1D1B6E2F" w14:textId="3DF4277D">
            <w:pPr>
              <w:pStyle w:val="Heading3"/>
              <w:rPr>
                <w:rFonts w:cs="Arial" w:cstheme="minorAscii"/>
                <w:b w:val="1"/>
                <w:bCs w:val="1"/>
                <w:color w:val="auto"/>
                <w:sz w:val="24"/>
                <w:szCs w:val="24"/>
                <w:u w:val="single"/>
              </w:rPr>
            </w:pPr>
            <w:r w:rsidRPr="0FD163F1" w:rsidR="00D80CEF">
              <w:rPr>
                <w:color w:val="auto"/>
                <w:u w:val="single"/>
              </w:rPr>
              <w:t xml:space="preserve">Trainer </w:t>
            </w:r>
            <w:r w:rsidRPr="0FD163F1" w:rsidR="540FC1BA">
              <w:rPr>
                <w:color w:val="auto"/>
                <w:u w:val="single"/>
              </w:rPr>
              <w:t>n</w:t>
            </w:r>
            <w:r w:rsidRPr="0FD163F1" w:rsidR="00D80CEF">
              <w:rPr>
                <w:color w:val="auto"/>
                <w:u w:val="single"/>
              </w:rPr>
              <w:t>ote:</w:t>
            </w:r>
          </w:p>
          <w:p w:rsidRPr="00D80CEF" w:rsidR="00D80CEF" w:rsidP="5ACF17FD" w:rsidRDefault="00D80CEF" w14:paraId="25507126" w14:textId="2EA273B6">
            <w:pPr>
              <w:pStyle w:val="Normal"/>
              <w:spacing w:after="120"/>
              <w:rPr>
                <w:rFonts w:cs="Arial" w:cstheme="minorAscii"/>
                <w:sz w:val="24"/>
                <w:szCs w:val="24"/>
              </w:rPr>
            </w:pPr>
            <w:r w:rsidRPr="5ACF17FD" w:rsidR="00D80CEF">
              <w:rPr>
                <w:rFonts w:cs="Arial" w:cstheme="minorAscii"/>
                <w:sz w:val="24"/>
                <w:szCs w:val="24"/>
              </w:rPr>
              <w:t>A brief overview of the Act – this module will focus on the last bullet</w:t>
            </w:r>
            <w:r w:rsidRPr="5ACF17FD" w:rsidR="6080EC68">
              <w:rPr>
                <w:rFonts w:cs="Arial" w:cstheme="minorAscii"/>
                <w:sz w:val="24"/>
                <w:szCs w:val="24"/>
                <w:lang w:val="cy-GB"/>
              </w:rPr>
              <w:t xml:space="preserve"> –</w:t>
            </w:r>
            <w:r w:rsidRPr="5ACF17FD" w:rsidR="00D80CEF">
              <w:rPr>
                <w:rFonts w:cs="Arial" w:cstheme="minorAscii"/>
                <w:sz w:val="24"/>
                <w:szCs w:val="24"/>
              </w:rPr>
              <w:t xml:space="preserve"> </w:t>
            </w:r>
            <w:r w:rsidRPr="5ACF17FD" w:rsidR="00D80CEF">
              <w:rPr>
                <w:rFonts w:cs="Arial" w:cstheme="minorAscii"/>
                <w:b w:val="1"/>
                <w:bCs w:val="1"/>
                <w:sz w:val="24"/>
                <w:szCs w:val="24"/>
              </w:rPr>
              <w:t>Principles</w:t>
            </w:r>
          </w:p>
          <w:p w:rsidRPr="00220FA4" w:rsidR="00CE11EB" w:rsidP="5ACF17FD" w:rsidRDefault="00CE11EB" w14:paraId="68030D44" w14:textId="77777777">
            <w:pPr>
              <w:spacing w:after="120"/>
              <w:rPr>
                <w:rFonts w:cs="Arial" w:cstheme="minorAscii"/>
                <w:sz w:val="24"/>
                <w:szCs w:val="24"/>
              </w:rPr>
            </w:pPr>
          </w:p>
        </w:tc>
      </w:tr>
      <w:tr w:rsidR="00CE11EB" w:rsidTr="0FD163F1" w14:paraId="26EAB736" w14:textId="35D83F8F">
        <w:tc>
          <w:tcPr>
            <w:tcW w:w="3397" w:type="dxa"/>
            <w:tcMar/>
          </w:tcPr>
          <w:p w:rsidRPr="00EC5880" w:rsidR="00CE11EB" w:rsidP="00EC5880" w:rsidRDefault="00B11393" w14:paraId="00614A7A" w14:textId="018CBA91">
            <w:pPr>
              <w:spacing w:before="60" w:after="120"/>
            </w:pPr>
            <w:r w:rsidR="5442578E">
              <w:rPr/>
              <w:t>3</w:t>
            </w:r>
          </w:p>
        </w:tc>
        <w:tc>
          <w:tcPr>
            <w:tcW w:w="2835" w:type="dxa"/>
            <w:tcMar/>
          </w:tcPr>
          <w:p w:rsidRPr="00EC5880" w:rsidR="00CE11EB" w:rsidP="00EC5880" w:rsidRDefault="00CE11EB" w14:paraId="2F72D927" w14:textId="77777777">
            <w:pPr>
              <w:spacing w:before="60" w:after="120"/>
            </w:pPr>
          </w:p>
        </w:tc>
        <w:tc>
          <w:tcPr>
            <w:tcW w:w="8528" w:type="dxa"/>
            <w:tcMar/>
          </w:tcPr>
          <w:p w:rsidRPr="00196148" w:rsidR="00196148" w:rsidP="0FD163F1" w:rsidRDefault="00196148" w14:paraId="249F2052" w14:textId="68202BEB">
            <w:pPr>
              <w:pStyle w:val="Heading3"/>
              <w:rPr>
                <w:rFonts w:cs="Arial" w:cstheme="minorAscii"/>
                <w:color w:val="auto"/>
                <w:sz w:val="24"/>
                <w:szCs w:val="24"/>
                <w:u w:val="single"/>
              </w:rPr>
            </w:pPr>
            <w:r w:rsidRPr="0FD163F1" w:rsidR="00196148">
              <w:rPr>
                <w:color w:val="auto"/>
                <w:u w:val="single"/>
                <w:lang w:val="en-US"/>
              </w:rPr>
              <w:t>Info</w:t>
            </w:r>
            <w:r w:rsidRPr="0FD163F1" w:rsidR="55A30631">
              <w:rPr>
                <w:color w:val="auto"/>
                <w:u w:val="single"/>
                <w:lang w:val="en-US"/>
              </w:rPr>
              <w:t>rmation</w:t>
            </w:r>
            <w:r w:rsidRPr="0FD163F1" w:rsidR="00196148">
              <w:rPr>
                <w:color w:val="auto"/>
                <w:u w:val="single"/>
                <w:lang w:val="en-US"/>
              </w:rPr>
              <w:t xml:space="preserve"> for </w:t>
            </w:r>
            <w:r w:rsidRPr="0FD163F1" w:rsidR="726EEA7F">
              <w:rPr>
                <w:color w:val="auto"/>
                <w:u w:val="single"/>
                <w:lang w:val="en-US"/>
              </w:rPr>
              <w:t>trainer</w:t>
            </w:r>
            <w:r w:rsidRPr="0FD163F1" w:rsidR="00196148">
              <w:rPr>
                <w:color w:val="auto"/>
                <w:u w:val="single"/>
                <w:lang w:val="en-US"/>
              </w:rPr>
              <w:t>:</w:t>
            </w:r>
          </w:p>
          <w:p w:rsidR="00196148" w:rsidP="5ACF17FD" w:rsidRDefault="00196148" w14:paraId="07A7A9C8" w14:textId="40862FCD">
            <w:pPr>
              <w:spacing w:after="120"/>
              <w:rPr>
                <w:rFonts w:cs="Arial" w:cstheme="minorAscii"/>
                <w:sz w:val="24"/>
                <w:szCs w:val="24"/>
                <w:lang w:val="en-US"/>
              </w:rPr>
            </w:pPr>
            <w:r w:rsidRPr="5ACF17FD" w:rsidR="00196148">
              <w:rPr>
                <w:rFonts w:cs="Arial" w:cstheme="minorAscii"/>
                <w:sz w:val="24"/>
                <w:szCs w:val="24"/>
                <w:lang w:val="en-US"/>
              </w:rPr>
              <w:t xml:space="preserve">The Social Services and Well-being (Wales) Act wants to see the delivery of </w:t>
            </w:r>
            <w:r w:rsidRPr="5ACF17FD" w:rsidR="28200A76">
              <w:rPr>
                <w:rFonts w:cs="Arial" w:cstheme="minorAscii"/>
                <w:sz w:val="24"/>
                <w:szCs w:val="24"/>
                <w:lang w:val="en-US"/>
              </w:rPr>
              <w:t>i</w:t>
            </w:r>
            <w:r w:rsidRPr="5ACF17FD" w:rsidR="00196148">
              <w:rPr>
                <w:rFonts w:cs="Arial" w:cstheme="minorAscii"/>
                <w:sz w:val="24"/>
                <w:szCs w:val="24"/>
                <w:lang w:val="en-US"/>
              </w:rPr>
              <w:t xml:space="preserve">nformation, </w:t>
            </w:r>
            <w:r w:rsidRPr="5ACF17FD" w:rsidR="7B9EFC15">
              <w:rPr>
                <w:rFonts w:cs="Arial" w:cstheme="minorAscii"/>
                <w:sz w:val="24"/>
                <w:szCs w:val="24"/>
                <w:lang w:val="en-US"/>
              </w:rPr>
              <w:t>a</w:t>
            </w:r>
            <w:r w:rsidRPr="5ACF17FD" w:rsidR="00196148">
              <w:rPr>
                <w:rFonts w:cs="Arial" w:cstheme="minorAscii"/>
                <w:sz w:val="24"/>
                <w:szCs w:val="24"/>
                <w:lang w:val="en-US"/>
              </w:rPr>
              <w:t xml:space="preserve">dvice and </w:t>
            </w:r>
            <w:r w:rsidRPr="5ACF17FD" w:rsidR="48CAA09B">
              <w:rPr>
                <w:rFonts w:cs="Arial" w:cstheme="minorAscii"/>
                <w:sz w:val="24"/>
                <w:szCs w:val="24"/>
                <w:lang w:val="en-US"/>
              </w:rPr>
              <w:t>a</w:t>
            </w:r>
            <w:r w:rsidRPr="5ACF17FD" w:rsidR="00196148">
              <w:rPr>
                <w:rFonts w:cs="Arial" w:cstheme="minorAscii"/>
                <w:sz w:val="24"/>
                <w:szCs w:val="24"/>
                <w:lang w:val="en-US"/>
              </w:rPr>
              <w:t>ssistance at the heart of the preventative agenda in Welsh social care.</w:t>
            </w:r>
          </w:p>
          <w:p w:rsidRPr="00600031" w:rsidR="00600031" w:rsidP="5ACF17FD" w:rsidRDefault="00600031" w14:paraId="79886F82" w14:textId="77777777">
            <w:pPr>
              <w:spacing w:after="120"/>
              <w:rPr>
                <w:rFonts w:cs="Arial" w:cstheme="minorAscii"/>
                <w:sz w:val="24"/>
                <w:szCs w:val="24"/>
              </w:rPr>
            </w:pPr>
            <w:r w:rsidRPr="5ACF17FD" w:rsidR="00600031">
              <w:rPr>
                <w:rFonts w:cs="Arial" w:cstheme="minorAscii"/>
                <w:sz w:val="24"/>
                <w:szCs w:val="24"/>
              </w:rPr>
              <w:t xml:space="preserve">Section 17 of the Social Services and Well-being (Wales) Act 2014 places a duty on local authorities to secure the provision of </w:t>
            </w:r>
            <w:r w:rsidRPr="5ACF17FD" w:rsidR="00600031">
              <w:rPr>
                <w:rFonts w:cs="Arial" w:cstheme="minorAscii"/>
                <w:sz w:val="24"/>
                <w:szCs w:val="24"/>
              </w:rPr>
              <w:t xml:space="preserve">an information, advice and assistance service. The purpose of the service is to provide people with information and advice relating to care and support, including support for carers, and to </w:t>
            </w:r>
            <w:proofErr w:type="gramStart"/>
            <w:r w:rsidRPr="5ACF17FD" w:rsidR="00600031">
              <w:rPr>
                <w:rFonts w:cs="Arial" w:cstheme="minorAscii"/>
                <w:sz w:val="24"/>
                <w:szCs w:val="24"/>
              </w:rPr>
              <w:t>provide assistance to</w:t>
            </w:r>
            <w:proofErr w:type="gramEnd"/>
            <w:r w:rsidRPr="5ACF17FD" w:rsidR="00600031">
              <w:rPr>
                <w:rFonts w:cs="Arial" w:cstheme="minorAscii"/>
                <w:sz w:val="24"/>
                <w:szCs w:val="24"/>
              </w:rPr>
              <w:t xml:space="preserve"> them in accessing it. Information, advice and assistance must be provided in a manner that makes it accessible to the individual for whom it is intended.</w:t>
            </w:r>
          </w:p>
          <w:p w:rsidRPr="00600031" w:rsidR="00600031" w:rsidP="5ACF17FD" w:rsidRDefault="00600031" w14:paraId="022AD999" w14:textId="77777777">
            <w:pPr>
              <w:spacing w:after="120"/>
              <w:rPr>
                <w:rFonts w:cs="Arial" w:cstheme="minorAscii"/>
                <w:sz w:val="24"/>
                <w:szCs w:val="24"/>
              </w:rPr>
            </w:pPr>
            <w:r w:rsidRPr="5ACF17FD" w:rsidR="00600031">
              <w:rPr>
                <w:rFonts w:cs="Arial" w:cstheme="minorAscii"/>
                <w:sz w:val="24"/>
                <w:szCs w:val="24"/>
              </w:rPr>
              <w:t xml:space="preserve">Information and advice </w:t>
            </w:r>
            <w:proofErr w:type="gramStart"/>
            <w:r w:rsidRPr="5ACF17FD" w:rsidR="00600031">
              <w:rPr>
                <w:rFonts w:cs="Arial" w:cstheme="minorAscii"/>
                <w:sz w:val="24"/>
                <w:szCs w:val="24"/>
              </w:rPr>
              <w:t>is</w:t>
            </w:r>
            <w:proofErr w:type="gramEnd"/>
            <w:r w:rsidRPr="5ACF17FD" w:rsidR="00600031">
              <w:rPr>
                <w:rFonts w:cs="Arial" w:cstheme="minorAscii"/>
                <w:sz w:val="24"/>
                <w:szCs w:val="24"/>
              </w:rPr>
              <w:t xml:space="preserve"> to be made available to all people regardless of whether they have needs for care and support. Such persons could include carers or interested parties, for example.</w:t>
            </w:r>
          </w:p>
          <w:p w:rsidRPr="00600031" w:rsidR="00600031" w:rsidP="5ACF17FD" w:rsidRDefault="00600031" w14:paraId="40EA705D" w14:textId="77777777">
            <w:pPr>
              <w:spacing w:after="120"/>
              <w:rPr>
                <w:rFonts w:cs="Arial" w:cstheme="minorAscii"/>
                <w:sz w:val="24"/>
                <w:szCs w:val="24"/>
              </w:rPr>
            </w:pPr>
            <w:r w:rsidRPr="5ACF17FD" w:rsidR="00600031">
              <w:rPr>
                <w:rFonts w:cs="Arial" w:cstheme="minorAscii"/>
                <w:sz w:val="24"/>
                <w:szCs w:val="24"/>
              </w:rPr>
              <w:t>The service must include information (including, but not limited to, financial information) and advice about the care and support system provided for under the Act, the types of care and support available in a local authority area and how to access it, and how to raise concerns about people who appear to have needs for care and support, or support.</w:t>
            </w:r>
          </w:p>
          <w:p w:rsidRPr="00600031" w:rsidR="00600031" w:rsidP="5ACF17FD" w:rsidRDefault="00600031" w14:paraId="7CE578F3" w14:textId="2A89900C">
            <w:pPr>
              <w:spacing w:after="120"/>
              <w:rPr>
                <w:rFonts w:cs="Arial" w:cstheme="minorAscii"/>
                <w:sz w:val="24"/>
                <w:szCs w:val="24"/>
              </w:rPr>
            </w:pPr>
            <w:r w:rsidRPr="5ACF17FD" w:rsidR="00600031">
              <w:rPr>
                <w:rFonts w:cs="Arial" w:cstheme="minorAscii"/>
                <w:sz w:val="24"/>
                <w:szCs w:val="24"/>
              </w:rPr>
              <w:t>L</w:t>
            </w:r>
            <w:r w:rsidRPr="5ACF17FD" w:rsidR="665EBCDF">
              <w:rPr>
                <w:rFonts w:cs="Arial" w:cstheme="minorAscii"/>
                <w:sz w:val="24"/>
                <w:szCs w:val="24"/>
              </w:rPr>
              <w:t>ocal health board</w:t>
            </w:r>
            <w:r w:rsidRPr="5ACF17FD" w:rsidR="00600031">
              <w:rPr>
                <w:rFonts w:cs="Arial" w:cstheme="minorAscii"/>
                <w:sz w:val="24"/>
                <w:szCs w:val="24"/>
              </w:rPr>
              <w:t xml:space="preserve">s and National Health Service (NHS) </w:t>
            </w:r>
            <w:r w:rsidRPr="5ACF17FD" w:rsidR="7F64D45C">
              <w:rPr>
                <w:rFonts w:cs="Arial" w:cstheme="minorAscii"/>
                <w:sz w:val="24"/>
                <w:szCs w:val="24"/>
              </w:rPr>
              <w:t>t</w:t>
            </w:r>
            <w:r w:rsidRPr="5ACF17FD" w:rsidR="00600031">
              <w:rPr>
                <w:rFonts w:cs="Arial" w:cstheme="minorAscii"/>
                <w:sz w:val="24"/>
                <w:szCs w:val="24"/>
              </w:rPr>
              <w:t>rusts are under a duty to facilitate the service by providing the local authority with information about the care and support that they provide.</w:t>
            </w:r>
          </w:p>
          <w:p w:rsidRPr="00600031" w:rsidR="00600031" w:rsidP="5ACF17FD" w:rsidRDefault="00600031" w14:paraId="0A5DF8F8" w14:textId="77777777">
            <w:pPr>
              <w:spacing w:after="120"/>
              <w:rPr>
                <w:rFonts w:cs="Arial" w:cstheme="minorAscii"/>
                <w:sz w:val="24"/>
                <w:szCs w:val="24"/>
              </w:rPr>
            </w:pPr>
            <w:r w:rsidRPr="5ACF17FD" w:rsidR="00600031">
              <w:rPr>
                <w:rFonts w:cs="Arial" w:cstheme="minorAscii"/>
                <w:sz w:val="24"/>
                <w:szCs w:val="24"/>
              </w:rPr>
              <w:t>Two or more local authorities may jointly secure the provision of an information, advice and assistance service.</w:t>
            </w:r>
          </w:p>
          <w:p w:rsidRPr="00600031" w:rsidR="00600031" w:rsidP="5ACF17FD" w:rsidRDefault="00600031" w14:paraId="5224EAC7" w14:textId="3EE32CD5">
            <w:pPr>
              <w:spacing w:after="120"/>
              <w:rPr>
                <w:rFonts w:cs="Arial" w:cstheme="minorAscii"/>
                <w:sz w:val="24"/>
                <w:szCs w:val="24"/>
              </w:rPr>
            </w:pPr>
            <w:r w:rsidRPr="5ACF17FD" w:rsidR="00600031">
              <w:rPr>
                <w:rFonts w:cs="Arial" w:cstheme="minorAscii"/>
                <w:sz w:val="24"/>
                <w:szCs w:val="24"/>
              </w:rPr>
              <w:t xml:space="preserve">From: </w:t>
            </w:r>
            <w:hyperlink w:anchor="/publicservices/social-care/Local-authority-responsibilities/general-and-strategic-duties/information-advice-and-assistance/?tab=overview&amp;lang=en" r:id="R4ca3eae45ca04af4">
              <w:r w:rsidRPr="5ACF17FD" w:rsidR="00600031">
                <w:rPr>
                  <w:rStyle w:val="Hyperlink"/>
                  <w:rFonts w:cs="Arial" w:cstheme="minorAscii"/>
                  <w:sz w:val="24"/>
                  <w:szCs w:val="24"/>
                </w:rPr>
                <w:t>https://law.gov.wales/publicservices/social-care/Local-authority-responsibilities/general-and-strategic-duties/information-advice-and-assistance/?lang=en#/publicservices/social-care/Local-authority-responsibilities/general-and-strategic-duties/information-advice-and-assistance/?tab=overview&amp;lang=en</w:t>
              </w:r>
            </w:hyperlink>
            <w:r w:rsidRPr="5ACF17FD" w:rsidR="780D68C9">
              <w:rPr>
                <w:rFonts w:cs="Arial" w:cstheme="minorAscii"/>
                <w:sz w:val="24"/>
                <w:szCs w:val="24"/>
              </w:rPr>
              <w:t xml:space="preserve"> </w:t>
            </w:r>
          </w:p>
          <w:p w:rsidRPr="00220FA4" w:rsidR="00CE11EB" w:rsidP="5ACF17FD" w:rsidRDefault="00CE11EB" w14:paraId="640174CD" w14:textId="77777777">
            <w:pPr>
              <w:spacing w:after="120"/>
              <w:rPr>
                <w:rFonts w:cs="Arial" w:cstheme="minorAscii"/>
                <w:sz w:val="24"/>
                <w:szCs w:val="24"/>
              </w:rPr>
            </w:pPr>
          </w:p>
        </w:tc>
      </w:tr>
      <w:tr w:rsidR="00CE11EB" w:rsidTr="0FD163F1" w14:paraId="16D76E71" w14:textId="4BFC64D4">
        <w:tc>
          <w:tcPr>
            <w:tcW w:w="3397" w:type="dxa"/>
            <w:tcMar/>
          </w:tcPr>
          <w:p w:rsidRPr="00EC5880" w:rsidR="00CE11EB" w:rsidP="00EC5880" w:rsidRDefault="0042544C" w14:paraId="15836B2F" w14:textId="271CE436">
            <w:pPr>
              <w:spacing w:before="60" w:after="120"/>
            </w:pPr>
            <w:r w:rsidR="53F70305">
              <w:rPr/>
              <w:t>4</w:t>
            </w:r>
          </w:p>
        </w:tc>
        <w:tc>
          <w:tcPr>
            <w:tcW w:w="2835" w:type="dxa"/>
            <w:tcMar/>
          </w:tcPr>
          <w:p w:rsidRPr="00EC5880" w:rsidR="00CE11EB" w:rsidP="00EC5880" w:rsidRDefault="00CE11EB" w14:paraId="6DB3B85F" w14:textId="77777777">
            <w:pPr>
              <w:spacing w:before="60" w:after="120"/>
            </w:pPr>
          </w:p>
        </w:tc>
        <w:tc>
          <w:tcPr>
            <w:tcW w:w="8528" w:type="dxa"/>
            <w:tcMar/>
          </w:tcPr>
          <w:p w:rsidR="00CE11EB" w:rsidP="0FD163F1" w:rsidRDefault="003E1C3B" w14:paraId="24A1447F" w14:textId="53579E25">
            <w:pPr>
              <w:pStyle w:val="Heading3"/>
              <w:rPr>
                <w:rFonts w:cs="Arial" w:cstheme="minorAscii"/>
                <w:b w:val="1"/>
                <w:bCs w:val="1"/>
                <w:color w:val="auto"/>
                <w:sz w:val="24"/>
                <w:szCs w:val="24"/>
                <w:u w:val="single"/>
              </w:rPr>
            </w:pPr>
            <w:r w:rsidRPr="0FD163F1" w:rsidR="003E1C3B">
              <w:rPr>
                <w:color w:val="auto"/>
                <w:u w:val="single"/>
              </w:rPr>
              <w:t xml:space="preserve">Notes for </w:t>
            </w:r>
            <w:r w:rsidRPr="0FD163F1" w:rsidR="6F1E156C">
              <w:rPr>
                <w:color w:val="auto"/>
                <w:u w:val="single"/>
              </w:rPr>
              <w:t>t</w:t>
            </w:r>
            <w:r w:rsidRPr="0FD163F1" w:rsidR="003E1C3B">
              <w:rPr>
                <w:color w:val="auto"/>
                <w:u w:val="single"/>
              </w:rPr>
              <w:t>rainer:</w:t>
            </w:r>
          </w:p>
          <w:p w:rsidRPr="003E1C3B" w:rsidR="003E1C3B" w:rsidP="5ACF17FD" w:rsidRDefault="003E1C3B" w14:paraId="67B68F38" w14:textId="072B1DA1">
            <w:pPr>
              <w:spacing w:after="120"/>
              <w:rPr>
                <w:rFonts w:cs="Arial" w:cstheme="minorAscii"/>
                <w:sz w:val="24"/>
                <w:szCs w:val="24"/>
              </w:rPr>
            </w:pPr>
            <w:r w:rsidRPr="5ACF17FD" w:rsidR="003E1C3B">
              <w:rPr>
                <w:rFonts w:cs="Arial" w:cstheme="minorAscii"/>
                <w:sz w:val="24"/>
                <w:szCs w:val="24"/>
              </w:rPr>
              <w:t xml:space="preserve">Part 2 </w:t>
            </w:r>
            <w:r w:rsidRPr="5ACF17FD" w:rsidR="003E1C3B">
              <w:rPr>
                <w:rFonts w:cs="Arial" w:cstheme="minorAscii"/>
                <w:b w:val="1"/>
                <w:bCs w:val="1"/>
                <w:sz w:val="24"/>
                <w:szCs w:val="24"/>
              </w:rPr>
              <w:t>Code of Practice</w:t>
            </w:r>
            <w:r w:rsidRPr="5ACF17FD" w:rsidR="003E1C3B">
              <w:rPr>
                <w:rFonts w:cs="Arial" w:cstheme="minorAscii"/>
                <w:sz w:val="24"/>
                <w:szCs w:val="24"/>
              </w:rPr>
              <w:t xml:space="preserve"> provides the following definitions: </w:t>
            </w:r>
          </w:p>
          <w:p w:rsidRPr="003E1C3B" w:rsidR="003E1C3B" w:rsidP="5ACF17FD" w:rsidRDefault="003E1C3B" w14:paraId="018C56DE" w14:textId="17AE1258">
            <w:pPr>
              <w:spacing w:after="120"/>
              <w:rPr>
                <w:rFonts w:cs="Arial" w:cstheme="minorAscii"/>
                <w:sz w:val="24"/>
                <w:szCs w:val="24"/>
              </w:rPr>
            </w:pPr>
            <w:r w:rsidRPr="5ACF17FD" w:rsidR="003E1C3B">
              <w:rPr>
                <w:rFonts w:cs="Arial" w:cstheme="minorAscii"/>
                <w:b w:val="1"/>
                <w:bCs w:val="1"/>
                <w:sz w:val="24"/>
                <w:szCs w:val="24"/>
              </w:rPr>
              <w:t>Information</w:t>
            </w:r>
            <w:r w:rsidRPr="5ACF17FD" w:rsidR="003E1C3B">
              <w:rPr>
                <w:rFonts w:cs="Arial" w:cstheme="minorAscii"/>
                <w:sz w:val="24"/>
                <w:szCs w:val="24"/>
              </w:rPr>
              <w:t xml:space="preserve"> </w:t>
            </w:r>
            <w:r w:rsidRPr="5ACF17FD" w:rsidR="6E940377">
              <w:rPr>
                <w:rFonts w:cs="Arial" w:cstheme="minorAscii"/>
                <w:sz w:val="24"/>
                <w:szCs w:val="24"/>
              </w:rPr>
              <w:t>w</w:t>
            </w:r>
            <w:r w:rsidRPr="5ACF17FD" w:rsidR="003E1C3B">
              <w:rPr>
                <w:rFonts w:cs="Arial" w:cstheme="minorAscii"/>
                <w:sz w:val="24"/>
                <w:szCs w:val="24"/>
              </w:rPr>
              <w:t xml:space="preserve">ill be quality data that provides support to a person to help them make an informed choice about their well-being. This will include information about how the care and support system works, the availability of preventative services, financial information, information on direct payments, information on charges, and other matters that would enable someone to plan how to meet their care and support needs, or support needs if they are a </w:t>
            </w:r>
            <w:proofErr w:type="gramStart"/>
            <w:r w:rsidRPr="5ACF17FD" w:rsidR="003E1C3B">
              <w:rPr>
                <w:rFonts w:cs="Arial" w:cstheme="minorAscii"/>
                <w:sz w:val="24"/>
                <w:szCs w:val="24"/>
              </w:rPr>
              <w:t>carer</w:t>
            </w:r>
            <w:proofErr w:type="gramEnd"/>
            <w:r w:rsidRPr="5ACF17FD" w:rsidR="003E1C3B">
              <w:rPr>
                <w:rFonts w:cs="Arial" w:cstheme="minorAscii"/>
                <w:sz w:val="24"/>
                <w:szCs w:val="24"/>
              </w:rPr>
              <w:t xml:space="preserve">. </w:t>
            </w:r>
          </w:p>
          <w:p w:rsidRPr="003E1C3B" w:rsidR="003E1C3B" w:rsidP="5ACF17FD" w:rsidRDefault="003E1C3B" w14:paraId="4C02A71F" w14:textId="1E91CC0C">
            <w:pPr>
              <w:spacing w:after="120"/>
              <w:rPr>
                <w:rFonts w:cs="Arial" w:cstheme="minorAscii"/>
                <w:sz w:val="24"/>
                <w:szCs w:val="24"/>
              </w:rPr>
            </w:pPr>
            <w:r w:rsidRPr="5ACF17FD" w:rsidR="003E1C3B">
              <w:rPr>
                <w:rFonts w:cs="Arial" w:cstheme="minorAscii"/>
                <w:b w:val="1"/>
                <w:bCs w:val="1"/>
                <w:sz w:val="24"/>
                <w:szCs w:val="24"/>
              </w:rPr>
              <w:t>Advice</w:t>
            </w:r>
            <w:r w:rsidRPr="5ACF17FD" w:rsidR="003E1C3B">
              <w:rPr>
                <w:rFonts w:cs="Arial" w:cstheme="minorAscii"/>
                <w:sz w:val="24"/>
                <w:szCs w:val="24"/>
              </w:rPr>
              <w:t xml:space="preserve"> will be a way of working co-productively with a person to explore the options available. This will require staff to undertake a proportionate assessment through a discussion and analysis of the five elements of the National Assessment and Eligibility Tool. It is imperative that the </w:t>
            </w:r>
            <w:r w:rsidRPr="5ACF17FD" w:rsidR="003E1C3B">
              <w:rPr>
                <w:rFonts w:cs="Arial" w:cstheme="minorAscii"/>
                <w:sz w:val="24"/>
                <w:szCs w:val="24"/>
              </w:rPr>
              <w:t xml:space="preserve">enquirer understands what is available to them, and that they are actively involved in making decisions about what matters to them and the personal outcomes they wish to achieve. </w:t>
            </w:r>
          </w:p>
          <w:p w:rsidRPr="00220FA4" w:rsidR="003E1C3B" w:rsidP="5ACF17FD" w:rsidRDefault="003E1C3B" w14:paraId="22B50D99" w14:textId="79E25F10">
            <w:pPr>
              <w:spacing w:after="120"/>
              <w:rPr>
                <w:rFonts w:cs="Arial" w:cstheme="minorAscii"/>
                <w:sz w:val="24"/>
                <w:szCs w:val="24"/>
              </w:rPr>
            </w:pPr>
            <w:r w:rsidRPr="5ACF17FD" w:rsidR="003E1C3B">
              <w:rPr>
                <w:rFonts w:cs="Arial" w:cstheme="minorAscii"/>
                <w:b w:val="1"/>
                <w:bCs w:val="1"/>
                <w:sz w:val="24"/>
                <w:szCs w:val="24"/>
              </w:rPr>
              <w:t>Assistance</w:t>
            </w:r>
            <w:r w:rsidRPr="5ACF17FD" w:rsidR="003E1C3B">
              <w:rPr>
                <w:rFonts w:cs="Arial" w:cstheme="minorAscii"/>
                <w:sz w:val="24"/>
                <w:szCs w:val="24"/>
              </w:rPr>
              <w:t xml:space="preserve">, if needed, will follow the provision of information and advice. Assistance will involve another person </w:t>
            </w:r>
            <w:proofErr w:type="gramStart"/>
            <w:r w:rsidRPr="5ACF17FD" w:rsidR="003E1C3B">
              <w:rPr>
                <w:rFonts w:cs="Arial" w:cstheme="minorAscii"/>
                <w:sz w:val="24"/>
                <w:szCs w:val="24"/>
              </w:rPr>
              <w:t>taking action</w:t>
            </w:r>
            <w:proofErr w:type="gramEnd"/>
            <w:r w:rsidRPr="5ACF17FD" w:rsidR="003E1C3B">
              <w:rPr>
                <w:rFonts w:cs="Arial" w:cstheme="minorAscii"/>
                <w:sz w:val="24"/>
                <w:szCs w:val="24"/>
              </w:rPr>
              <w:t xml:space="preserve"> with the enquirer to access care and support, or a carer to access support. Responsibility for the activity undertaken is shared between the assistant and the recipient of the assistance. </w:t>
            </w:r>
          </w:p>
        </w:tc>
      </w:tr>
      <w:tr w:rsidR="00CE11EB" w:rsidTr="0FD163F1" w14:paraId="27A5B250" w14:textId="03FDF245">
        <w:tc>
          <w:tcPr>
            <w:tcW w:w="3397" w:type="dxa"/>
            <w:tcMar/>
          </w:tcPr>
          <w:p w:rsidRPr="00EC5880" w:rsidR="00CE11EB" w:rsidP="00EC5880" w:rsidRDefault="00272DFC" w14:paraId="61B49FF1" w14:textId="16937318">
            <w:pPr>
              <w:spacing w:before="60" w:after="120"/>
            </w:pPr>
            <w:r w:rsidR="4B82A70C">
              <w:rPr/>
              <w:t>5</w:t>
            </w:r>
          </w:p>
        </w:tc>
        <w:tc>
          <w:tcPr>
            <w:tcW w:w="2835" w:type="dxa"/>
            <w:tcMar/>
          </w:tcPr>
          <w:p w:rsidRPr="00EC5880" w:rsidR="00CE11EB" w:rsidP="5ACF17FD" w:rsidRDefault="00CE11EB" w14:paraId="6968D7E9" w14:textId="77777777">
            <w:pPr>
              <w:spacing w:before="60" w:after="120"/>
              <w:rPr>
                <w:sz w:val="24"/>
                <w:szCs w:val="24"/>
              </w:rPr>
            </w:pPr>
          </w:p>
        </w:tc>
        <w:tc>
          <w:tcPr>
            <w:tcW w:w="8528" w:type="dxa"/>
            <w:tcMar/>
          </w:tcPr>
          <w:p w:rsidRPr="009102D4" w:rsidR="009102D4" w:rsidP="0FD163F1" w:rsidRDefault="009102D4" w14:paraId="3F972B62" w14:textId="05C9612E">
            <w:pPr>
              <w:pStyle w:val="Heading3"/>
              <w:rPr>
                <w:rFonts w:cs="Arial" w:cstheme="minorAscii"/>
                <w:b w:val="1"/>
                <w:bCs w:val="1"/>
                <w:color w:val="auto"/>
                <w:sz w:val="24"/>
                <w:szCs w:val="24"/>
                <w:u w:val="single"/>
              </w:rPr>
            </w:pPr>
            <w:r w:rsidRPr="0FD163F1" w:rsidR="009102D4">
              <w:rPr>
                <w:color w:val="auto"/>
                <w:u w:val="single"/>
              </w:rPr>
              <w:t>Trainer to explain:</w:t>
            </w:r>
          </w:p>
          <w:p w:rsidRPr="009102D4" w:rsidR="009102D4" w:rsidP="5ACF17FD" w:rsidRDefault="009102D4" w14:paraId="1ED9EFED" w14:textId="4EA5A6DC">
            <w:pPr>
              <w:spacing w:after="120"/>
              <w:rPr>
                <w:rFonts w:cs="Arial" w:cstheme="minorAscii"/>
                <w:sz w:val="24"/>
                <w:szCs w:val="24"/>
              </w:rPr>
            </w:pPr>
            <w:r w:rsidRPr="5ACF17FD" w:rsidR="009102D4">
              <w:rPr>
                <w:rFonts w:cs="Arial" w:cstheme="minorAscii"/>
                <w:sz w:val="24"/>
                <w:szCs w:val="24"/>
              </w:rPr>
              <w:t>We’ll first look at the first principle</w:t>
            </w:r>
            <w:r w:rsidRPr="5ACF17FD" w:rsidR="01A8B7DD">
              <w:rPr>
                <w:rFonts w:cs="Arial" w:cstheme="minorAscii"/>
                <w:sz w:val="24"/>
                <w:szCs w:val="24"/>
              </w:rPr>
              <w:t>:</w:t>
            </w:r>
            <w:r w:rsidRPr="5ACF17FD" w:rsidR="009102D4">
              <w:rPr>
                <w:rFonts w:cs="Arial" w:cstheme="minorAscii"/>
                <w:sz w:val="24"/>
                <w:szCs w:val="24"/>
              </w:rPr>
              <w:t xml:space="preserve">  </w:t>
            </w:r>
          </w:p>
          <w:p w:rsidRPr="009102D4" w:rsidR="009102D4" w:rsidP="5ACF17FD" w:rsidRDefault="009102D4" w14:paraId="17430E55" w14:textId="77777777">
            <w:pPr>
              <w:spacing w:after="120"/>
              <w:rPr>
                <w:rFonts w:cs="Arial" w:cstheme="minorAscii"/>
                <w:sz w:val="24"/>
                <w:szCs w:val="24"/>
              </w:rPr>
            </w:pPr>
            <w:r w:rsidRPr="5ACF17FD" w:rsidR="009102D4">
              <w:rPr>
                <w:rFonts w:cs="Arial" w:cstheme="minorAscii"/>
                <w:sz w:val="24"/>
                <w:szCs w:val="24"/>
              </w:rPr>
              <w:t xml:space="preserve">1: Safeguarding and protecting is everybody’s responsibility </w:t>
            </w:r>
          </w:p>
          <w:p w:rsidRPr="00220FA4" w:rsidR="00CE11EB" w:rsidP="5ACF17FD" w:rsidRDefault="009102D4" w14:paraId="762FED0B" w14:textId="02897F77">
            <w:pPr>
              <w:spacing w:after="120"/>
              <w:rPr>
                <w:rFonts w:cs="Arial" w:cstheme="minorAscii"/>
                <w:sz w:val="24"/>
                <w:szCs w:val="24"/>
              </w:rPr>
            </w:pPr>
            <w:r w:rsidRPr="5ACF17FD" w:rsidR="009102D4">
              <w:rPr>
                <w:rFonts w:cs="Arial" w:cstheme="minorAscii"/>
                <w:sz w:val="24"/>
                <w:szCs w:val="24"/>
              </w:rPr>
              <w:t> </w:t>
            </w:r>
          </w:p>
        </w:tc>
      </w:tr>
      <w:tr w:rsidR="00CE11EB" w:rsidTr="0FD163F1" w14:paraId="05AE8913" w14:textId="4882AB4B">
        <w:tc>
          <w:tcPr>
            <w:tcW w:w="3397" w:type="dxa"/>
            <w:tcMar/>
          </w:tcPr>
          <w:p w:rsidRPr="00EC5880" w:rsidR="00CE11EB" w:rsidP="00EC5880" w:rsidRDefault="00B210D8" w14:paraId="1AB66F85" w14:textId="5FDC1193">
            <w:pPr>
              <w:spacing w:before="60" w:after="120"/>
            </w:pPr>
            <w:r w:rsidR="60CF1532">
              <w:rPr/>
              <w:t>6</w:t>
            </w:r>
          </w:p>
        </w:tc>
        <w:tc>
          <w:tcPr>
            <w:tcW w:w="2835" w:type="dxa"/>
            <w:tcMar/>
          </w:tcPr>
          <w:p w:rsidR="00CE11EB" w:rsidP="5ACF17FD" w:rsidRDefault="00B2240C" w14:paraId="452150FC" w14:textId="77777777">
            <w:pPr>
              <w:spacing w:before="60" w:after="120"/>
              <w:rPr>
                <w:sz w:val="24"/>
                <w:szCs w:val="24"/>
              </w:rPr>
            </w:pPr>
            <w:r w:rsidRPr="5ACF17FD" w:rsidR="00B2240C">
              <w:rPr>
                <w:sz w:val="24"/>
                <w:szCs w:val="24"/>
              </w:rPr>
              <w:t>Section 1</w:t>
            </w:r>
            <w:r w:rsidRPr="5ACF17FD" w:rsidR="001B2583">
              <w:rPr>
                <w:sz w:val="24"/>
                <w:szCs w:val="24"/>
              </w:rPr>
              <w:t xml:space="preserve">: </w:t>
            </w:r>
            <w:r w:rsidRPr="5ACF17FD" w:rsidR="001B2583">
              <w:rPr>
                <w:sz w:val="24"/>
                <w:szCs w:val="24"/>
              </w:rPr>
              <w:t>Safeguarding principles and effective practice: children</w:t>
            </w:r>
          </w:p>
          <w:p w:rsidRPr="00EC5880" w:rsidR="005458BE" w:rsidP="5ACF17FD" w:rsidRDefault="005458BE" w14:paraId="63E10D97" w14:textId="11788818">
            <w:pPr>
              <w:spacing w:before="60" w:after="120"/>
              <w:rPr>
                <w:sz w:val="24"/>
                <w:szCs w:val="24"/>
              </w:rPr>
            </w:pPr>
          </w:p>
        </w:tc>
        <w:tc>
          <w:tcPr>
            <w:tcW w:w="8528" w:type="dxa"/>
            <w:tcMar/>
          </w:tcPr>
          <w:p w:rsidRPr="00917FCE" w:rsidR="00917FCE" w:rsidP="0FD163F1" w:rsidRDefault="008C2DD8" w14:paraId="229D962D" w14:textId="1F0D354B">
            <w:pPr>
              <w:pStyle w:val="Heading3"/>
              <w:rPr>
                <w:rFonts w:cs="Arial" w:cstheme="minorAscii"/>
                <w:color w:val="auto"/>
                <w:sz w:val="24"/>
                <w:szCs w:val="24"/>
                <w:u w:val="single"/>
              </w:rPr>
            </w:pPr>
            <w:r w:rsidRPr="0FD163F1" w:rsidR="008C2DD8">
              <w:rPr>
                <w:color w:val="auto"/>
                <w:u w:val="single"/>
              </w:rPr>
              <w:t>T</w:t>
            </w:r>
            <w:r w:rsidRPr="0FD163F1" w:rsidR="715EE9A4">
              <w:rPr>
                <w:color w:val="auto"/>
                <w:u w:val="single"/>
              </w:rPr>
              <w:t>rainer</w:t>
            </w:r>
          </w:p>
          <w:p w:rsidRPr="00220FA4" w:rsidR="00CE11EB" w:rsidP="5ACF17FD" w:rsidRDefault="008C2DD8" w14:paraId="4BD3569C" w14:textId="65BC2276">
            <w:pPr>
              <w:spacing w:after="120"/>
              <w:rPr>
                <w:rFonts w:cs="Arial" w:cstheme="minorAscii"/>
                <w:sz w:val="24"/>
                <w:szCs w:val="24"/>
              </w:rPr>
            </w:pPr>
            <w:r w:rsidRPr="5ACF17FD" w:rsidR="715EE9A4">
              <w:rPr>
                <w:rFonts w:cs="Arial" w:cstheme="minorAscii"/>
                <w:sz w:val="24"/>
                <w:szCs w:val="24"/>
              </w:rPr>
              <w:t>A</w:t>
            </w:r>
            <w:r w:rsidRPr="5ACF17FD" w:rsidR="008C2DD8">
              <w:rPr>
                <w:rFonts w:cs="Arial" w:cstheme="minorAscii"/>
                <w:sz w:val="24"/>
                <w:szCs w:val="24"/>
              </w:rPr>
              <w:t xml:space="preserve">sk participants to </w:t>
            </w:r>
            <w:r w:rsidRPr="5ACF17FD" w:rsidR="006B0ED8">
              <w:rPr>
                <w:rFonts w:cs="Arial" w:cstheme="minorAscii"/>
                <w:sz w:val="24"/>
                <w:szCs w:val="24"/>
              </w:rPr>
              <w:t>follow along</w:t>
            </w:r>
            <w:r w:rsidRPr="5ACF17FD" w:rsidR="00917FCE">
              <w:rPr>
                <w:rFonts w:cs="Arial" w:cstheme="minorAscii"/>
                <w:sz w:val="24"/>
                <w:szCs w:val="24"/>
              </w:rPr>
              <w:t xml:space="preserve"> </w:t>
            </w:r>
            <w:r w:rsidRPr="5ACF17FD" w:rsidR="00D95D34">
              <w:rPr>
                <w:rFonts w:cs="Arial" w:cstheme="minorAscii"/>
                <w:sz w:val="24"/>
                <w:szCs w:val="24"/>
              </w:rPr>
              <w:t>with</w:t>
            </w:r>
            <w:r w:rsidRPr="5ACF17FD" w:rsidR="00917FCE">
              <w:rPr>
                <w:rFonts w:cs="Arial" w:cstheme="minorAscii"/>
                <w:sz w:val="24"/>
                <w:szCs w:val="24"/>
              </w:rPr>
              <w:t xml:space="preserve"> the section on App</w:t>
            </w:r>
            <w:r w:rsidRPr="5ACF17FD" w:rsidR="7083A952">
              <w:rPr>
                <w:rFonts w:cs="Arial" w:cstheme="minorAscii"/>
                <w:sz w:val="24"/>
                <w:szCs w:val="24"/>
              </w:rPr>
              <w:t>.</w:t>
            </w:r>
          </w:p>
        </w:tc>
      </w:tr>
      <w:tr w:rsidR="0088100A" w:rsidTr="0FD163F1" w14:paraId="48FB5332" w14:textId="441BC893">
        <w:tc>
          <w:tcPr>
            <w:tcW w:w="3397" w:type="dxa"/>
            <w:tcMar/>
          </w:tcPr>
          <w:p w:rsidRPr="00EC5880" w:rsidR="0088100A" w:rsidP="00EC5880" w:rsidRDefault="0088100A" w14:paraId="13CD4EAF" w14:textId="216F5033">
            <w:pPr>
              <w:spacing w:before="60" w:after="120"/>
            </w:pPr>
            <w:r w:rsidR="69469807">
              <w:rPr/>
              <w:t>7</w:t>
            </w:r>
          </w:p>
        </w:tc>
        <w:tc>
          <w:tcPr>
            <w:tcW w:w="2835" w:type="dxa"/>
            <w:vMerge w:val="restart"/>
            <w:tcMar/>
          </w:tcPr>
          <w:p w:rsidRPr="00E84F54" w:rsidR="00291EA4" w:rsidP="5ACF17FD" w:rsidRDefault="003743B0" w14:paraId="0A0EDB6B" w14:textId="0BF59D4F">
            <w:pPr>
              <w:spacing w:before="60" w:after="120"/>
              <w:rPr>
                <w:b w:val="1"/>
                <w:bCs w:val="1"/>
                <w:sz w:val="24"/>
                <w:szCs w:val="24"/>
              </w:rPr>
            </w:pPr>
            <w:r w:rsidRPr="5ACF17FD" w:rsidR="003743B0">
              <w:rPr>
                <w:sz w:val="24"/>
                <w:szCs w:val="24"/>
              </w:rPr>
              <w:t>Section 1</w:t>
            </w:r>
            <w:r w:rsidRPr="5ACF17FD" w:rsidR="00970427">
              <w:rPr>
                <w:sz w:val="24"/>
                <w:szCs w:val="24"/>
              </w:rPr>
              <w:t xml:space="preserve"> &gt; </w:t>
            </w:r>
            <w:r w:rsidRPr="5ACF17FD" w:rsidR="00E84F54">
              <w:rPr>
                <w:sz w:val="24"/>
                <w:szCs w:val="24"/>
              </w:rPr>
              <w:t xml:space="preserve">Safeguarding principles and effective practice: children </w:t>
            </w:r>
            <w:r w:rsidRPr="5ACF17FD" w:rsidR="00E84F54">
              <w:rPr>
                <w:sz w:val="24"/>
                <w:szCs w:val="24"/>
              </w:rPr>
              <w:t xml:space="preserve">&gt; </w:t>
            </w:r>
            <w:r w:rsidRPr="5ACF17FD" w:rsidR="00291EA4">
              <w:rPr>
                <w:b w:val="1"/>
                <w:bCs w:val="1"/>
                <w:sz w:val="24"/>
                <w:szCs w:val="24"/>
              </w:rPr>
              <w:t>An effective safeguarding system</w:t>
            </w:r>
          </w:p>
          <w:p w:rsidRPr="00127A39" w:rsidR="0088100A" w:rsidP="5ACF17FD" w:rsidRDefault="0088100A" w14:paraId="16FDD8F5" w14:textId="2D9A0DC4">
            <w:pPr>
              <w:spacing w:before="60" w:after="120"/>
              <w:rPr>
                <w:sz w:val="24"/>
                <w:szCs w:val="24"/>
              </w:rPr>
            </w:pPr>
            <w:r w:rsidRPr="5ACF17FD" w:rsidR="0088100A">
              <w:rPr>
                <w:i w:val="1"/>
                <w:iCs w:val="1"/>
                <w:sz w:val="24"/>
                <w:szCs w:val="24"/>
              </w:rPr>
              <w:t>From</w:t>
            </w:r>
            <w:r w:rsidRPr="5ACF17FD" w:rsidR="0088100A">
              <w:rPr>
                <w:sz w:val="24"/>
                <w:szCs w:val="24"/>
              </w:rPr>
              <w:t xml:space="preserve"> Working Together to Safeguard People: Volume 5 – Handling Individual Cases to Protect Children at Risk</w:t>
            </w:r>
          </w:p>
          <w:p w:rsidR="0088100A" w:rsidP="5ACF17FD" w:rsidRDefault="008F3DCB" w14:paraId="4E72D02B" w14:textId="77777777">
            <w:pPr>
              <w:spacing w:before="60" w:after="120"/>
              <w:rPr>
                <w:sz w:val="24"/>
                <w:szCs w:val="24"/>
              </w:rPr>
            </w:pPr>
            <w:hyperlink r:id="R53d97c9cbb0d40c3">
              <w:r w:rsidRPr="5ACF17FD" w:rsidR="0088100A">
                <w:rPr>
                  <w:rStyle w:val="Hyperlink"/>
                  <w:sz w:val="24"/>
                  <w:szCs w:val="24"/>
                </w:rPr>
                <w:t>https://gov.wales/sites/default/files/publications/2019-05/working-together-to-safeguard-people-volume-5-handling-individual-cases-to-protect-children-at-risk.pdf</w:t>
              </w:r>
            </w:hyperlink>
            <w:r w:rsidRPr="5ACF17FD" w:rsidR="0088100A">
              <w:rPr>
                <w:sz w:val="24"/>
                <w:szCs w:val="24"/>
              </w:rPr>
              <w:t xml:space="preserve"> </w:t>
            </w:r>
          </w:p>
          <w:p w:rsidRPr="00EC5880" w:rsidR="002B3E34" w:rsidP="6D5ED857" w:rsidRDefault="008F3DCB" w14:paraId="46504C91" w14:textId="767FDFBE">
            <w:pPr>
              <w:pStyle w:val="Normal"/>
              <w:spacing w:before="60" w:after="120"/>
              <w:rPr>
                <w:sz w:val="24"/>
                <w:szCs w:val="24"/>
              </w:rPr>
            </w:pPr>
            <w:r w:rsidRPr="6D5ED857" w:rsidR="00246FA5">
              <w:rPr>
                <w:sz w:val="24"/>
                <w:szCs w:val="24"/>
              </w:rPr>
              <w:t xml:space="preserve"> </w:t>
            </w:r>
          </w:p>
        </w:tc>
        <w:tc>
          <w:tcPr>
            <w:tcW w:w="8528" w:type="dxa"/>
            <w:tcMar/>
          </w:tcPr>
          <w:p w:rsidRPr="00220FA4" w:rsidR="00BF7325" w:rsidP="5ACF17FD" w:rsidRDefault="00BF7325" w14:paraId="11962AF9" w14:textId="53E97421">
            <w:pPr>
              <w:spacing w:after="120"/>
              <w:rPr>
                <w:rFonts w:cs="Arial" w:cstheme="minorAscii"/>
                <w:sz w:val="24"/>
                <w:szCs w:val="24"/>
              </w:rPr>
            </w:pPr>
          </w:p>
        </w:tc>
      </w:tr>
      <w:tr w:rsidR="0088100A" w:rsidTr="0FD163F1" w14:paraId="758BAD99" w14:textId="78A3F9B2">
        <w:tc>
          <w:tcPr>
            <w:tcW w:w="3397" w:type="dxa"/>
            <w:tcMar/>
          </w:tcPr>
          <w:p w:rsidRPr="00F32BC7" w:rsidR="0088100A" w:rsidP="00EC5880" w:rsidRDefault="0088100A" w14:paraId="285ACB0C" w14:textId="2A5FB540">
            <w:pPr>
              <w:spacing w:before="60" w:after="120"/>
            </w:pPr>
            <w:r w:rsidR="277A6980">
              <w:rPr/>
              <w:t>8</w:t>
            </w:r>
          </w:p>
        </w:tc>
        <w:tc>
          <w:tcPr>
            <w:tcW w:w="2835" w:type="dxa"/>
            <w:vMerge/>
            <w:tcMar/>
          </w:tcPr>
          <w:p w:rsidRPr="00EC5880" w:rsidR="0088100A" w:rsidP="00EC5880" w:rsidRDefault="0088100A" w14:paraId="3E2C5C82" w14:textId="77777777">
            <w:pPr>
              <w:spacing w:before="60" w:after="120"/>
            </w:pPr>
          </w:p>
        </w:tc>
        <w:tc>
          <w:tcPr>
            <w:tcW w:w="8528" w:type="dxa"/>
            <w:tcMar/>
          </w:tcPr>
          <w:p w:rsidRPr="00220FA4" w:rsidR="0088100A" w:rsidP="5ACF17FD" w:rsidRDefault="0088100A" w14:paraId="46E5B633" w14:textId="77777777">
            <w:pPr>
              <w:spacing w:after="120"/>
              <w:rPr>
                <w:rFonts w:cs="Arial" w:cstheme="minorAscii"/>
                <w:sz w:val="24"/>
                <w:szCs w:val="24"/>
              </w:rPr>
            </w:pPr>
          </w:p>
        </w:tc>
      </w:tr>
      <w:tr w:rsidR="0088100A" w:rsidTr="0FD163F1" w14:paraId="2F00C953" w14:textId="130A9B5E">
        <w:tc>
          <w:tcPr>
            <w:tcW w:w="3397" w:type="dxa"/>
            <w:tcMar/>
          </w:tcPr>
          <w:p w:rsidRPr="00F32BC7" w:rsidR="0088100A" w:rsidP="00EC5880" w:rsidRDefault="0088100A" w14:paraId="427A484F" w14:textId="436B0F9A">
            <w:pPr>
              <w:spacing w:before="60" w:after="120"/>
            </w:pPr>
            <w:r w:rsidR="277A6980">
              <w:rPr/>
              <w:t>9</w:t>
            </w:r>
          </w:p>
        </w:tc>
        <w:tc>
          <w:tcPr>
            <w:tcW w:w="2835" w:type="dxa"/>
            <w:vMerge/>
            <w:tcMar/>
          </w:tcPr>
          <w:p w:rsidRPr="00EC5880" w:rsidR="0088100A" w:rsidP="0097086B" w:rsidRDefault="0088100A" w14:paraId="6834DC95" w14:textId="6F362090">
            <w:pPr>
              <w:spacing w:before="60" w:after="120"/>
            </w:pPr>
          </w:p>
        </w:tc>
        <w:tc>
          <w:tcPr>
            <w:tcW w:w="8528" w:type="dxa"/>
            <w:tcMar/>
          </w:tcPr>
          <w:p w:rsidRPr="00220FA4" w:rsidR="0088100A" w:rsidP="00220FA4" w:rsidRDefault="0088100A" w14:paraId="4EFF30D2" w14:textId="77777777">
            <w:pPr>
              <w:spacing w:after="120"/>
              <w:rPr>
                <w:rFonts w:cstheme="minorHAnsi"/>
              </w:rPr>
            </w:pPr>
          </w:p>
        </w:tc>
      </w:tr>
      <w:tr w:rsidR="00CE11EB" w:rsidTr="0FD163F1" w14:paraId="704921BA" w14:textId="2EAA76BF">
        <w:tc>
          <w:tcPr>
            <w:tcW w:w="3397" w:type="dxa"/>
            <w:tcMar/>
          </w:tcPr>
          <w:p w:rsidRPr="00F32BC7" w:rsidR="00CE11EB" w:rsidP="00EC5880" w:rsidRDefault="003309E2" w14:paraId="36FED610" w14:textId="1FC5EF77">
            <w:pPr>
              <w:spacing w:before="60" w:after="120"/>
            </w:pPr>
            <w:r w:rsidR="277A6980">
              <w:rPr/>
              <w:t>10</w:t>
            </w:r>
          </w:p>
        </w:tc>
        <w:tc>
          <w:tcPr>
            <w:tcW w:w="2835" w:type="dxa"/>
            <w:tcMar/>
          </w:tcPr>
          <w:p w:rsidR="00CE11EB" w:rsidP="5ACF17FD" w:rsidRDefault="002505E8" w14:paraId="7E705105" w14:textId="77777777">
            <w:pPr>
              <w:spacing w:before="60" w:after="120"/>
              <w:rPr>
                <w:sz w:val="24"/>
                <w:szCs w:val="24"/>
              </w:rPr>
            </w:pPr>
            <w:r w:rsidRPr="5ACF17FD" w:rsidR="002505E8">
              <w:rPr>
                <w:sz w:val="24"/>
                <w:szCs w:val="24"/>
              </w:rPr>
              <w:t xml:space="preserve">Section 1: </w:t>
            </w:r>
            <w:r w:rsidRPr="5ACF17FD" w:rsidR="002505E8">
              <w:rPr>
                <w:sz w:val="24"/>
                <w:szCs w:val="24"/>
              </w:rPr>
              <w:t>Safeguarding principles and effective practice: children</w:t>
            </w:r>
            <w:r w:rsidRPr="5ACF17FD" w:rsidR="00E84F54">
              <w:rPr>
                <w:sz w:val="24"/>
                <w:szCs w:val="24"/>
              </w:rPr>
              <w:t xml:space="preserve"> </w:t>
            </w:r>
          </w:p>
          <w:p w:rsidRPr="00EC5880" w:rsidR="00C176F8" w:rsidP="5ACF17FD" w:rsidRDefault="00C176F8" w14:paraId="69670092" w14:textId="4D1E16AB">
            <w:pPr>
              <w:spacing w:before="60" w:after="120"/>
              <w:rPr>
                <w:sz w:val="24"/>
                <w:szCs w:val="24"/>
              </w:rPr>
            </w:pPr>
          </w:p>
        </w:tc>
        <w:tc>
          <w:tcPr>
            <w:tcW w:w="8528" w:type="dxa"/>
            <w:tcMar/>
          </w:tcPr>
          <w:p w:rsidRPr="005D3CCB" w:rsidR="005D3CCB" w:rsidP="0FD163F1" w:rsidRDefault="005D3CCB" w14:paraId="1AE1BB92" w14:textId="71A4D601">
            <w:pPr>
              <w:pStyle w:val="Heading3"/>
              <w:rPr>
                <w:rFonts w:cs="Arial" w:cstheme="minorAscii"/>
                <w:color w:val="auto"/>
                <w:sz w:val="24"/>
                <w:szCs w:val="24"/>
                <w:u w:val="single"/>
              </w:rPr>
            </w:pPr>
            <w:r w:rsidRPr="0FD163F1" w:rsidR="005D3CCB">
              <w:rPr>
                <w:color w:val="auto"/>
                <w:u w:val="single"/>
              </w:rPr>
              <w:t>Trainer to note</w:t>
            </w:r>
            <w:r w:rsidRPr="0FD163F1" w:rsidR="68B682B9">
              <w:rPr>
                <w:color w:val="auto"/>
                <w:u w:val="single"/>
              </w:rPr>
              <w:t>:</w:t>
            </w:r>
            <w:r w:rsidRPr="0FD163F1" w:rsidR="005D3CCB">
              <w:rPr>
                <w:color w:val="auto"/>
              </w:rPr>
              <w:t xml:space="preserve"> </w:t>
            </w:r>
          </w:p>
          <w:p w:rsidRPr="005D3CCB" w:rsidR="005D3CCB" w:rsidP="5ACF17FD" w:rsidRDefault="005D3CCB" w14:paraId="60E58623" w14:textId="42AF0925">
            <w:pPr>
              <w:spacing w:after="120"/>
              <w:rPr>
                <w:rFonts w:cs="Arial" w:cstheme="minorAscii"/>
                <w:sz w:val="24"/>
                <w:szCs w:val="24"/>
              </w:rPr>
            </w:pPr>
            <w:r w:rsidRPr="5ACF17FD" w:rsidR="569EA847">
              <w:rPr>
                <w:rFonts w:cs="Arial" w:cstheme="minorAscii"/>
                <w:sz w:val="24"/>
                <w:szCs w:val="24"/>
              </w:rPr>
              <w:t>T</w:t>
            </w:r>
            <w:r w:rsidRPr="5ACF17FD" w:rsidR="005D3CCB">
              <w:rPr>
                <w:rFonts w:cs="Arial" w:cstheme="minorAscii"/>
                <w:sz w:val="24"/>
                <w:szCs w:val="24"/>
              </w:rPr>
              <w:t xml:space="preserve">hat this is not the full list – </w:t>
            </w:r>
            <w:r w:rsidRPr="5ACF17FD" w:rsidR="1D7BE9C6">
              <w:rPr>
                <w:rFonts w:cs="Arial" w:cstheme="minorAscii"/>
                <w:sz w:val="24"/>
                <w:szCs w:val="24"/>
              </w:rPr>
              <w:t xml:space="preserve">the </w:t>
            </w:r>
            <w:r w:rsidRPr="5ACF17FD" w:rsidR="005D3CCB">
              <w:rPr>
                <w:rFonts w:cs="Arial" w:cstheme="minorAscii"/>
                <w:sz w:val="24"/>
                <w:szCs w:val="24"/>
              </w:rPr>
              <w:t>full list</w:t>
            </w:r>
            <w:r w:rsidRPr="5ACF17FD" w:rsidR="35CDF250">
              <w:rPr>
                <w:rFonts w:cs="Arial" w:cstheme="minorAscii"/>
                <w:sz w:val="24"/>
                <w:szCs w:val="24"/>
              </w:rPr>
              <w:t xml:space="preserve"> is</w:t>
            </w:r>
            <w:r w:rsidRPr="5ACF17FD" w:rsidR="005D3CCB">
              <w:rPr>
                <w:rFonts w:cs="Arial" w:cstheme="minorAscii"/>
                <w:sz w:val="24"/>
                <w:szCs w:val="24"/>
              </w:rPr>
              <w:t xml:space="preserve"> available in Section 1</w:t>
            </w:r>
            <w:r w:rsidRPr="5ACF17FD" w:rsidR="3D7EED96">
              <w:rPr>
                <w:rFonts w:cs="Arial" w:cstheme="minorAscii"/>
                <w:sz w:val="24"/>
                <w:szCs w:val="24"/>
              </w:rPr>
              <w:t>.</w:t>
            </w:r>
          </w:p>
          <w:p w:rsidRPr="00220FA4" w:rsidR="00CE11EB" w:rsidP="5ACF17FD" w:rsidRDefault="00CE11EB" w14:paraId="2F8DDC4C" w14:textId="77777777">
            <w:pPr>
              <w:spacing w:after="120"/>
              <w:rPr>
                <w:rFonts w:cs="Arial" w:cstheme="minorAscii"/>
                <w:sz w:val="24"/>
                <w:szCs w:val="24"/>
              </w:rPr>
            </w:pPr>
          </w:p>
        </w:tc>
      </w:tr>
      <w:tr w:rsidR="00CE11EB" w:rsidTr="0FD163F1" w14:paraId="5D52C0AA" w14:textId="40A4EF75">
        <w:tc>
          <w:tcPr>
            <w:tcW w:w="3397" w:type="dxa"/>
            <w:tcMar/>
          </w:tcPr>
          <w:p w:rsidRPr="00F32BC7" w:rsidR="00CE11EB" w:rsidP="00EC5880" w:rsidRDefault="001D7481" w14:paraId="2F2C2D78" w14:textId="31CA7923">
            <w:pPr>
              <w:spacing w:before="60" w:after="120"/>
            </w:pPr>
            <w:r w:rsidR="4A668C6E">
              <w:rPr/>
              <w:t>11</w:t>
            </w:r>
          </w:p>
        </w:tc>
        <w:tc>
          <w:tcPr>
            <w:tcW w:w="2835" w:type="dxa"/>
            <w:tcMar/>
          </w:tcPr>
          <w:p w:rsidR="00CE11EB" w:rsidP="5ACF17FD" w:rsidRDefault="00730E99" w14:paraId="041ACB38" w14:textId="77777777">
            <w:pPr>
              <w:spacing w:before="60" w:after="120"/>
              <w:rPr>
                <w:b w:val="1"/>
                <w:bCs w:val="1"/>
                <w:sz w:val="24"/>
                <w:szCs w:val="24"/>
              </w:rPr>
            </w:pPr>
            <w:r w:rsidRPr="5ACF17FD" w:rsidR="00730E99">
              <w:rPr>
                <w:sz w:val="24"/>
                <w:szCs w:val="24"/>
              </w:rPr>
              <w:t xml:space="preserve">Section 1: </w:t>
            </w:r>
            <w:r w:rsidRPr="5ACF17FD" w:rsidR="00730E99">
              <w:rPr>
                <w:sz w:val="24"/>
                <w:szCs w:val="24"/>
              </w:rPr>
              <w:t>Safeguarding principles and effective practice: children</w:t>
            </w:r>
            <w:r w:rsidRPr="5ACF17FD" w:rsidR="00730E99">
              <w:rPr>
                <w:sz w:val="24"/>
                <w:szCs w:val="24"/>
              </w:rPr>
              <w:t xml:space="preserve"> &gt; </w:t>
            </w:r>
            <w:r w:rsidRPr="5ACF17FD" w:rsidR="00730E99">
              <w:rPr>
                <w:sz w:val="24"/>
                <w:szCs w:val="24"/>
              </w:rPr>
              <w:t xml:space="preserve">Early help and prevention from abuse, neglect and harm </w:t>
            </w:r>
            <w:r w:rsidRPr="5ACF17FD" w:rsidR="00730E99">
              <w:rPr>
                <w:sz w:val="24"/>
                <w:szCs w:val="24"/>
              </w:rPr>
              <w:t xml:space="preserve">&gt; </w:t>
            </w:r>
            <w:r w:rsidRPr="5ACF17FD" w:rsidR="00436D9F">
              <w:rPr>
                <w:b w:val="1"/>
                <w:bCs w:val="1"/>
                <w:sz w:val="24"/>
                <w:szCs w:val="24"/>
              </w:rPr>
              <w:t>Practitioners in contact with children and families</w:t>
            </w:r>
          </w:p>
          <w:p w:rsidRPr="00EC5880" w:rsidR="00F1131C" w:rsidP="5ACF17FD" w:rsidRDefault="00F1131C" w14:paraId="4CD92D4F" w14:textId="253670C9">
            <w:pPr>
              <w:spacing w:before="60" w:after="120"/>
              <w:rPr>
                <w:b w:val="1"/>
                <w:bCs w:val="1"/>
                <w:sz w:val="24"/>
                <w:szCs w:val="24"/>
              </w:rPr>
            </w:pPr>
          </w:p>
        </w:tc>
        <w:tc>
          <w:tcPr>
            <w:tcW w:w="8528" w:type="dxa"/>
            <w:tcMar/>
          </w:tcPr>
          <w:p w:rsidRPr="00220FA4" w:rsidR="007B414C" w:rsidP="0FD163F1" w:rsidRDefault="007B414C" w14:paraId="1B14B6E9" w14:textId="4F917ABC">
            <w:pPr>
              <w:pStyle w:val="Heading3"/>
              <w:rPr>
                <w:rFonts w:cs="Arial" w:cstheme="minorAscii"/>
                <w:b w:val="1"/>
                <w:bCs w:val="1"/>
                <w:color w:val="auto"/>
                <w:sz w:val="24"/>
                <w:szCs w:val="24"/>
                <w:u w:val="single"/>
              </w:rPr>
            </w:pPr>
            <w:r w:rsidRPr="0FD163F1" w:rsidR="007B414C">
              <w:rPr>
                <w:color w:val="auto"/>
                <w:u w:val="single"/>
              </w:rPr>
              <w:t>T</w:t>
            </w:r>
            <w:r w:rsidRPr="0FD163F1" w:rsidR="3CB4B2FE">
              <w:rPr>
                <w:color w:val="auto"/>
                <w:u w:val="single"/>
              </w:rPr>
              <w:t xml:space="preserve">rainer to point </w:t>
            </w:r>
            <w:r w:rsidRPr="0FD163F1" w:rsidR="3CB4B2FE">
              <w:rPr>
                <w:color w:val="auto"/>
                <w:u w:val="single"/>
              </w:rPr>
              <w:t>out:</w:t>
            </w:r>
          </w:p>
          <w:p w:rsidRPr="00220FA4" w:rsidR="007B414C" w:rsidP="5ACF17FD" w:rsidRDefault="007B414C" w14:paraId="42AC0BF0" w14:textId="0AB0EEBD">
            <w:pPr>
              <w:spacing w:after="120"/>
              <w:rPr>
                <w:rFonts w:cs="Arial" w:cstheme="minorAscii"/>
                <w:sz w:val="24"/>
                <w:szCs w:val="24"/>
              </w:rPr>
            </w:pPr>
            <w:r w:rsidRPr="5ACF17FD" w:rsidR="007B414C">
              <w:rPr>
                <w:rFonts w:cs="Arial" w:cstheme="minorAscii"/>
                <w:sz w:val="24"/>
                <w:szCs w:val="24"/>
              </w:rPr>
              <w:t xml:space="preserve">Practitioners who are in contact with children and their families are particularly well placed to </w:t>
            </w:r>
            <w:r w:rsidRPr="5ACF17FD" w:rsidR="007B414C">
              <w:rPr>
                <w:rFonts w:cs="Arial" w:cstheme="minorAscii"/>
                <w:b w:val="1"/>
                <w:bCs w:val="1"/>
                <w:sz w:val="24"/>
                <w:szCs w:val="24"/>
              </w:rPr>
              <w:t>identify emerging concerns</w:t>
            </w:r>
            <w:r w:rsidRPr="5ACF17FD" w:rsidR="007B414C">
              <w:rPr>
                <w:rFonts w:cs="Arial" w:cstheme="minorAscii"/>
                <w:sz w:val="24"/>
                <w:szCs w:val="24"/>
              </w:rPr>
              <w:t xml:space="preserve"> about abuse and neglect. </w:t>
            </w:r>
          </w:p>
        </w:tc>
      </w:tr>
      <w:tr w:rsidR="00CE11EB" w:rsidTr="0FD163F1" w14:paraId="189915C7" w14:textId="081B1A8B">
        <w:tc>
          <w:tcPr>
            <w:tcW w:w="3397" w:type="dxa"/>
            <w:tcMar/>
          </w:tcPr>
          <w:p w:rsidRPr="00F32BC7" w:rsidR="00CE11EB" w:rsidP="00EC5880" w:rsidRDefault="00FE7684" w14:paraId="00367EC6" w14:textId="6B161263">
            <w:pPr>
              <w:spacing w:before="60" w:after="120"/>
            </w:pPr>
            <w:r w:rsidR="201524DB">
              <w:rPr/>
              <w:t>12</w:t>
            </w:r>
          </w:p>
        </w:tc>
        <w:tc>
          <w:tcPr>
            <w:tcW w:w="2835" w:type="dxa"/>
            <w:tcMar/>
          </w:tcPr>
          <w:p w:rsidR="00CE11EB" w:rsidP="5ACF17FD" w:rsidRDefault="000C5078" w14:paraId="6CCFD64C" w14:textId="6B046882">
            <w:pPr>
              <w:spacing w:before="60" w:after="120"/>
              <w:rPr>
                <w:b w:val="1"/>
                <w:bCs w:val="1"/>
                <w:sz w:val="24"/>
                <w:szCs w:val="24"/>
              </w:rPr>
            </w:pPr>
            <w:r w:rsidRPr="6D5ED857" w:rsidR="000C5078">
              <w:rPr>
                <w:sz w:val="24"/>
                <w:szCs w:val="24"/>
              </w:rPr>
              <w:t xml:space="preserve">Section 1: Safeguarding principles and effective practice: children &gt; Early help and prevention from abuse, neglect and harm &gt; </w:t>
            </w:r>
            <w:r w:rsidRPr="6D5ED857" w:rsidR="000C5078">
              <w:rPr>
                <w:b w:val="1"/>
                <w:bCs w:val="1"/>
                <w:sz w:val="24"/>
                <w:szCs w:val="24"/>
              </w:rPr>
              <w:t>The task: identifying and addressing emerging concerns</w:t>
            </w:r>
          </w:p>
          <w:p w:rsidRPr="00A12896" w:rsidR="00A12896" w:rsidP="5ACF17FD" w:rsidRDefault="00A12896" w14:paraId="627E0694" w14:textId="46936820">
            <w:pPr>
              <w:spacing w:before="60" w:after="120"/>
              <w:rPr>
                <w:b w:val="1"/>
                <w:bCs w:val="1"/>
                <w:sz w:val="24"/>
                <w:szCs w:val="24"/>
                <w:u w:val="single"/>
              </w:rPr>
            </w:pPr>
            <w:r w:rsidRPr="5ACF17FD" w:rsidR="00A12896">
              <w:rPr>
                <w:b w:val="1"/>
                <w:bCs w:val="1"/>
                <w:sz w:val="24"/>
                <w:szCs w:val="24"/>
                <w:u w:val="single"/>
              </w:rPr>
              <w:t>T</w:t>
            </w:r>
            <w:r w:rsidRPr="5ACF17FD" w:rsidR="323217BF">
              <w:rPr>
                <w:b w:val="1"/>
                <w:bCs w:val="1"/>
                <w:sz w:val="24"/>
                <w:szCs w:val="24"/>
                <w:u w:val="single"/>
              </w:rPr>
              <w:t>rainer may wish to expand with</w:t>
            </w:r>
            <w:r w:rsidRPr="5ACF17FD" w:rsidR="00A12896">
              <w:rPr>
                <w:b w:val="1"/>
                <w:bCs w:val="1"/>
                <w:sz w:val="24"/>
                <w:szCs w:val="24"/>
                <w:u w:val="single"/>
              </w:rPr>
              <w:t>:</w:t>
            </w:r>
          </w:p>
          <w:p w:rsidR="00A12896" w:rsidP="5ACF17FD" w:rsidRDefault="00A12896" w14:paraId="0E3C5380" w14:textId="77777777">
            <w:pPr>
              <w:spacing w:before="60" w:after="120"/>
              <w:rPr>
                <w:b w:val="0"/>
                <w:bCs w:val="0"/>
                <w:sz w:val="24"/>
                <w:szCs w:val="24"/>
              </w:rPr>
            </w:pPr>
            <w:r w:rsidRPr="5ACF17FD" w:rsidR="00A12896">
              <w:rPr>
                <w:b w:val="0"/>
                <w:bCs w:val="0"/>
                <w:sz w:val="24"/>
                <w:szCs w:val="24"/>
              </w:rPr>
              <w:t>Pointers for Practice:</w:t>
            </w:r>
            <w:r w:rsidRPr="5ACF17FD" w:rsidR="00A12896">
              <w:rPr>
                <w:b w:val="0"/>
                <w:bCs w:val="0"/>
                <w:sz w:val="24"/>
                <w:szCs w:val="24"/>
              </w:rPr>
              <w:t xml:space="preserve"> </w:t>
            </w:r>
            <w:r w:rsidRPr="5ACF17FD" w:rsidR="00A12896">
              <w:rPr>
                <w:b w:val="0"/>
                <w:bCs w:val="0"/>
                <w:sz w:val="24"/>
                <w:szCs w:val="24"/>
              </w:rPr>
              <w:t>Identifying Children Who May Require Early Interventions Because Of Vulnerability to Abuse and Neglect</w:t>
            </w:r>
          </w:p>
          <w:p w:rsidR="00913814" w:rsidP="5ACF17FD" w:rsidRDefault="008F3DCB" w14:paraId="76DB0E65" w14:textId="77777777">
            <w:pPr>
              <w:spacing w:before="60" w:after="120"/>
              <w:rPr>
                <w:b w:val="0"/>
                <w:bCs w:val="0"/>
                <w:sz w:val="24"/>
                <w:szCs w:val="24"/>
              </w:rPr>
            </w:pPr>
            <w:hyperlink r:id="Ra74e26cd523f4b45">
              <w:r w:rsidRPr="6D5ED857" w:rsidR="00913814">
                <w:rPr>
                  <w:rStyle w:val="Hyperlink"/>
                  <w:b w:val="0"/>
                  <w:bCs w:val="0"/>
                  <w:sz w:val="24"/>
                  <w:szCs w:val="24"/>
                </w:rPr>
                <w:t>https://www.safeguarding.wales/chi/cp/c1p.p1.html</w:t>
              </w:r>
            </w:hyperlink>
          </w:p>
          <w:p w:rsidRPr="00EC5880" w:rsidR="00066A01" w:rsidP="5ACF17FD" w:rsidRDefault="008F3DCB" w14:paraId="45AA1BAA" w14:textId="51771741">
            <w:pPr>
              <w:spacing w:before="60" w:after="120"/>
              <w:rPr>
                <w:sz w:val="24"/>
                <w:szCs w:val="24"/>
              </w:rPr>
            </w:pPr>
          </w:p>
        </w:tc>
        <w:tc>
          <w:tcPr>
            <w:tcW w:w="8528" w:type="dxa"/>
            <w:tcMar/>
          </w:tcPr>
          <w:p w:rsidRPr="00220FA4" w:rsidR="00CE11EB" w:rsidP="5ACF17FD" w:rsidRDefault="00CE11EB" w14:paraId="29F434C4" w14:textId="77777777">
            <w:pPr>
              <w:spacing w:after="120"/>
              <w:rPr>
                <w:rFonts w:cs="Arial" w:cstheme="minorAscii"/>
                <w:sz w:val="24"/>
                <w:szCs w:val="24"/>
              </w:rPr>
            </w:pPr>
          </w:p>
        </w:tc>
      </w:tr>
      <w:tr w:rsidR="00CE11EB" w:rsidTr="0FD163F1" w14:paraId="76084EA3" w14:textId="74C62B28">
        <w:tc>
          <w:tcPr>
            <w:tcW w:w="3397" w:type="dxa"/>
            <w:tcMar/>
          </w:tcPr>
          <w:p w:rsidRPr="00F32BC7" w:rsidR="00CE11EB" w:rsidP="00EC5880" w:rsidRDefault="001E2A23" w14:paraId="7BF2D6E2" w14:textId="14E16F70">
            <w:pPr>
              <w:spacing w:before="60" w:after="120"/>
            </w:pPr>
            <w:r w:rsidR="10FF6F9B">
              <w:rPr/>
              <w:t>13</w:t>
            </w:r>
          </w:p>
        </w:tc>
        <w:tc>
          <w:tcPr>
            <w:tcW w:w="2835" w:type="dxa"/>
            <w:tcMar/>
          </w:tcPr>
          <w:p w:rsidR="009860B8" w:rsidP="5ACF17FD" w:rsidRDefault="00FA5C48" w14:paraId="440C5585" w14:textId="77777777">
            <w:pPr>
              <w:spacing w:before="60" w:after="120"/>
              <w:rPr>
                <w:b w:val="1"/>
                <w:bCs w:val="1"/>
                <w:sz w:val="24"/>
                <w:szCs w:val="24"/>
              </w:rPr>
            </w:pPr>
            <w:r w:rsidRPr="5ACF17FD" w:rsidR="00FA5C48">
              <w:rPr>
                <w:sz w:val="24"/>
                <w:szCs w:val="24"/>
              </w:rPr>
              <w:t xml:space="preserve">Section 1: Safeguarding principles and effective practice: children &gt; Early help and prevention from abuse, neglect and harm &gt; </w:t>
            </w:r>
            <w:r w:rsidRPr="5ACF17FD" w:rsidR="00FA5C48">
              <w:rPr>
                <w:b w:val="1"/>
                <w:bCs w:val="1"/>
                <w:sz w:val="24"/>
                <w:szCs w:val="24"/>
              </w:rPr>
              <w:t>Types of interventions</w:t>
            </w:r>
          </w:p>
          <w:p w:rsidRPr="00EC5880" w:rsidR="00066A01" w:rsidP="5ACF17FD" w:rsidRDefault="00066A01" w14:paraId="2E2A9244" w14:textId="26BC8292">
            <w:pPr>
              <w:spacing w:before="60" w:after="120"/>
              <w:rPr>
                <w:b w:val="1"/>
                <w:bCs w:val="1"/>
                <w:sz w:val="24"/>
                <w:szCs w:val="24"/>
              </w:rPr>
            </w:pPr>
          </w:p>
        </w:tc>
        <w:tc>
          <w:tcPr>
            <w:tcW w:w="8528" w:type="dxa"/>
            <w:tcMar/>
          </w:tcPr>
          <w:p w:rsidRPr="00633A51" w:rsidR="00633A51" w:rsidP="0FD163F1" w:rsidRDefault="00EF6DD0" w14:paraId="24AFB54E" w14:textId="66FF3C56">
            <w:pPr>
              <w:pStyle w:val="Heading3"/>
              <w:rPr>
                <w:rFonts w:cs="Arial" w:cstheme="minorAscii"/>
                <w:color w:val="auto"/>
                <w:sz w:val="24"/>
                <w:szCs w:val="24"/>
                <w:u w:val="single"/>
              </w:rPr>
            </w:pPr>
            <w:r w:rsidRPr="0FD163F1" w:rsidR="00633A51">
              <w:rPr>
                <w:color w:val="auto"/>
                <w:u w:val="single"/>
              </w:rPr>
              <w:t>O</w:t>
            </w:r>
            <w:r w:rsidRPr="0FD163F1" w:rsidR="51C387A6">
              <w:rPr>
                <w:color w:val="auto"/>
                <w:u w:val="single"/>
              </w:rPr>
              <w:t>ptional</w:t>
            </w:r>
            <w:r w:rsidRPr="0FD163F1" w:rsidR="60DAA133">
              <w:rPr>
                <w:color w:val="auto"/>
                <w:u w:val="single"/>
              </w:rPr>
              <w:t xml:space="preserve"> </w:t>
            </w:r>
            <w:r w:rsidRPr="0FD163F1" w:rsidR="60DAA133">
              <w:rPr>
                <w:color w:val="auto"/>
                <w:u w:val="single"/>
              </w:rPr>
              <w:t>– t</w:t>
            </w:r>
            <w:r w:rsidRPr="0FD163F1" w:rsidR="26FB34FD">
              <w:rPr>
                <w:color w:val="auto"/>
                <w:u w:val="single"/>
              </w:rPr>
              <w:t>rainer to lead discussion on:</w:t>
            </w:r>
          </w:p>
          <w:p w:rsidRPr="00633A51" w:rsidR="00633A51" w:rsidP="5ACF17FD" w:rsidRDefault="00EF6DD0" w14:paraId="4ADD12DE" w14:textId="0AA38842">
            <w:pPr>
              <w:spacing w:after="120"/>
              <w:rPr>
                <w:rFonts w:cs="Arial" w:cstheme="minorAscii"/>
                <w:sz w:val="24"/>
                <w:szCs w:val="24"/>
              </w:rPr>
            </w:pPr>
            <w:r w:rsidRPr="5ACF17FD" w:rsidR="00EF6DD0">
              <w:rPr>
                <w:rFonts w:cs="Arial" w:cstheme="minorAscii"/>
                <w:sz w:val="24"/>
                <w:szCs w:val="24"/>
              </w:rPr>
              <w:t>What kinds of q</w:t>
            </w:r>
            <w:r w:rsidRPr="5ACF17FD" w:rsidR="00633A51">
              <w:rPr>
                <w:rFonts w:cs="Arial" w:cstheme="minorAscii"/>
                <w:sz w:val="24"/>
                <w:szCs w:val="24"/>
              </w:rPr>
              <w:t xml:space="preserve">uestions </w:t>
            </w:r>
            <w:r w:rsidRPr="5ACF17FD" w:rsidR="00EF6DD0">
              <w:rPr>
                <w:rFonts w:cs="Arial" w:cstheme="minorAscii"/>
                <w:sz w:val="24"/>
                <w:szCs w:val="24"/>
              </w:rPr>
              <w:t>might</w:t>
            </w:r>
            <w:r w:rsidRPr="5ACF17FD" w:rsidR="00633A51">
              <w:rPr>
                <w:rFonts w:cs="Arial" w:cstheme="minorAscii"/>
                <w:sz w:val="24"/>
                <w:szCs w:val="24"/>
              </w:rPr>
              <w:t xml:space="preserve"> identify and </w:t>
            </w:r>
            <w:r w:rsidRPr="5ACF17FD" w:rsidR="00EF6DD0">
              <w:rPr>
                <w:rFonts w:cs="Arial" w:cstheme="minorAscii"/>
                <w:sz w:val="24"/>
                <w:szCs w:val="24"/>
              </w:rPr>
              <w:t xml:space="preserve">help </w:t>
            </w:r>
            <w:r w:rsidRPr="5ACF17FD" w:rsidR="00633A51">
              <w:rPr>
                <w:rFonts w:cs="Arial" w:cstheme="minorAscii"/>
                <w:sz w:val="24"/>
                <w:szCs w:val="24"/>
              </w:rPr>
              <w:t>deliver appropriate interventions</w:t>
            </w:r>
            <w:r w:rsidRPr="5ACF17FD" w:rsidR="00EF6DD0">
              <w:rPr>
                <w:rFonts w:cs="Arial" w:cstheme="minorAscii"/>
                <w:sz w:val="24"/>
                <w:szCs w:val="24"/>
              </w:rPr>
              <w:t>?</w:t>
            </w:r>
          </w:p>
          <w:p w:rsidRPr="00D20C88" w:rsidR="00633A51" w:rsidP="5ACF17FD" w:rsidRDefault="00633A51" w14:paraId="1E29AD49" w14:textId="77777777">
            <w:pPr>
              <w:pStyle w:val="ListParagraph"/>
              <w:numPr>
                <w:ilvl w:val="0"/>
                <w:numId w:val="5"/>
              </w:numPr>
              <w:spacing w:after="120"/>
              <w:rPr>
                <w:rFonts w:cs="Arial" w:cstheme="minorAscii"/>
                <w:sz w:val="24"/>
                <w:szCs w:val="24"/>
              </w:rPr>
            </w:pPr>
            <w:r w:rsidRPr="5ACF17FD" w:rsidR="00633A51">
              <w:rPr>
                <w:rFonts w:cs="Arial" w:cstheme="minorAscii"/>
                <w:sz w:val="24"/>
                <w:szCs w:val="24"/>
              </w:rPr>
              <w:t xml:space="preserve">What do we (agencies and family) want to achieve? </w:t>
            </w:r>
          </w:p>
          <w:p w:rsidRPr="00D20C88" w:rsidR="00633A51" w:rsidP="5ACF17FD" w:rsidRDefault="00633A51" w14:paraId="3FE98CCE" w14:textId="77777777">
            <w:pPr>
              <w:pStyle w:val="ListParagraph"/>
              <w:numPr>
                <w:ilvl w:val="0"/>
                <w:numId w:val="5"/>
              </w:numPr>
              <w:spacing w:after="120"/>
              <w:rPr>
                <w:rFonts w:cs="Arial" w:cstheme="minorAscii"/>
                <w:sz w:val="24"/>
                <w:szCs w:val="24"/>
              </w:rPr>
            </w:pPr>
            <w:r w:rsidRPr="5ACF17FD" w:rsidR="00633A51">
              <w:rPr>
                <w:rFonts w:cs="Arial" w:cstheme="minorAscii"/>
                <w:sz w:val="24"/>
                <w:szCs w:val="24"/>
              </w:rPr>
              <w:t>How will we know when we have achieved these outcomes?</w:t>
            </w:r>
          </w:p>
          <w:p w:rsidRPr="00D20C88" w:rsidR="00633A51" w:rsidP="5ACF17FD" w:rsidRDefault="00633A51" w14:paraId="7DCB9904" w14:textId="77777777">
            <w:pPr>
              <w:pStyle w:val="ListParagraph"/>
              <w:numPr>
                <w:ilvl w:val="0"/>
                <w:numId w:val="5"/>
              </w:numPr>
              <w:spacing w:after="120"/>
              <w:rPr>
                <w:rFonts w:cs="Arial" w:cstheme="minorAscii"/>
                <w:sz w:val="24"/>
                <w:szCs w:val="24"/>
              </w:rPr>
            </w:pPr>
            <w:r w:rsidRPr="5ACF17FD" w:rsidR="00633A51">
              <w:rPr>
                <w:rFonts w:cs="Arial" w:cstheme="minorAscii"/>
                <w:sz w:val="24"/>
                <w:szCs w:val="24"/>
              </w:rPr>
              <w:t>How can we build on family strengths?</w:t>
            </w:r>
          </w:p>
          <w:p w:rsidRPr="00D20C88" w:rsidR="00633A51" w:rsidP="5ACF17FD" w:rsidRDefault="00633A51" w14:paraId="06BA3B06" w14:textId="3129DFCC">
            <w:pPr>
              <w:pStyle w:val="ListParagraph"/>
              <w:numPr>
                <w:ilvl w:val="0"/>
                <w:numId w:val="5"/>
              </w:numPr>
              <w:spacing w:after="120"/>
              <w:rPr>
                <w:rFonts w:cs="Arial" w:cstheme="minorAscii"/>
                <w:sz w:val="24"/>
                <w:szCs w:val="24"/>
              </w:rPr>
            </w:pPr>
            <w:r w:rsidRPr="5ACF17FD" w:rsidR="00633A51">
              <w:rPr>
                <w:rFonts w:cs="Arial" w:cstheme="minorAscii"/>
                <w:sz w:val="24"/>
                <w:szCs w:val="24"/>
              </w:rPr>
              <w:t xml:space="preserve">How are we going to do it? (Think </w:t>
            </w:r>
            <w:r w:rsidRPr="5ACF17FD" w:rsidR="4B13BB16">
              <w:rPr>
                <w:rFonts w:cs="Arial" w:cstheme="minorAscii"/>
                <w:sz w:val="24"/>
                <w:szCs w:val="24"/>
              </w:rPr>
              <w:t>i</w:t>
            </w:r>
            <w:r w:rsidRPr="5ACF17FD" w:rsidR="00633A51">
              <w:rPr>
                <w:rFonts w:cs="Arial" w:cstheme="minorAscii"/>
                <w:sz w:val="24"/>
                <w:szCs w:val="24"/>
              </w:rPr>
              <w:t xml:space="preserve">nformation, </w:t>
            </w:r>
            <w:r w:rsidRPr="5ACF17FD" w:rsidR="034F9DF2">
              <w:rPr>
                <w:rFonts w:cs="Arial" w:cstheme="minorAscii"/>
                <w:sz w:val="24"/>
                <w:szCs w:val="24"/>
              </w:rPr>
              <w:t>a</w:t>
            </w:r>
            <w:r w:rsidRPr="5ACF17FD" w:rsidR="00633A51">
              <w:rPr>
                <w:rFonts w:cs="Arial" w:cstheme="minorAscii"/>
                <w:sz w:val="24"/>
                <w:szCs w:val="24"/>
              </w:rPr>
              <w:t xml:space="preserve">dvice and </w:t>
            </w:r>
            <w:r w:rsidRPr="5ACF17FD" w:rsidR="0D166FCF">
              <w:rPr>
                <w:rFonts w:cs="Arial" w:cstheme="minorAscii"/>
                <w:sz w:val="24"/>
                <w:szCs w:val="24"/>
              </w:rPr>
              <w:t>a</w:t>
            </w:r>
            <w:r w:rsidRPr="5ACF17FD" w:rsidR="00633A51">
              <w:rPr>
                <w:rFonts w:cs="Arial" w:cstheme="minorAscii"/>
                <w:sz w:val="24"/>
                <w:szCs w:val="24"/>
              </w:rPr>
              <w:t>ssistance)</w:t>
            </w:r>
          </w:p>
          <w:p w:rsidRPr="00D20C88" w:rsidR="00633A51" w:rsidP="5ACF17FD" w:rsidRDefault="00633A51" w14:paraId="3176FF5E" w14:textId="77777777">
            <w:pPr>
              <w:pStyle w:val="ListParagraph"/>
              <w:numPr>
                <w:ilvl w:val="0"/>
                <w:numId w:val="5"/>
              </w:numPr>
              <w:spacing w:after="120"/>
              <w:rPr>
                <w:rFonts w:cs="Arial" w:cstheme="minorAscii"/>
                <w:sz w:val="24"/>
                <w:szCs w:val="24"/>
              </w:rPr>
            </w:pPr>
            <w:r w:rsidRPr="5ACF17FD" w:rsidR="00633A51">
              <w:rPr>
                <w:rFonts w:cs="Arial" w:cstheme="minorAscii"/>
                <w:sz w:val="24"/>
                <w:szCs w:val="24"/>
              </w:rPr>
              <w:t>Who is going to do what?</w:t>
            </w:r>
          </w:p>
          <w:p w:rsidRPr="00D20C88" w:rsidR="00633A51" w:rsidP="5ACF17FD" w:rsidRDefault="00633A51" w14:paraId="3D2F76BD" w14:textId="77777777">
            <w:pPr>
              <w:pStyle w:val="ListParagraph"/>
              <w:numPr>
                <w:ilvl w:val="0"/>
                <w:numId w:val="5"/>
              </w:numPr>
              <w:spacing w:after="120"/>
              <w:rPr>
                <w:rFonts w:cs="Arial" w:cstheme="minorAscii"/>
                <w:sz w:val="24"/>
                <w:szCs w:val="24"/>
              </w:rPr>
            </w:pPr>
            <w:r w:rsidRPr="5ACF17FD" w:rsidR="00633A51">
              <w:rPr>
                <w:rFonts w:cs="Arial" w:cstheme="minorAscii"/>
                <w:sz w:val="24"/>
                <w:szCs w:val="24"/>
              </w:rPr>
              <w:t>What are the timescales?</w:t>
            </w:r>
          </w:p>
          <w:p w:rsidRPr="00EF6DD0" w:rsidR="00CE11EB" w:rsidP="5ACF17FD" w:rsidRDefault="00633A51" w14:paraId="3239FF6A" w14:textId="01188A29">
            <w:pPr>
              <w:pStyle w:val="ListParagraph"/>
              <w:numPr>
                <w:ilvl w:val="0"/>
                <w:numId w:val="5"/>
              </w:numPr>
              <w:spacing w:after="120"/>
              <w:rPr>
                <w:rFonts w:cs="Arial" w:cstheme="minorAscii"/>
                <w:sz w:val="24"/>
                <w:szCs w:val="24"/>
              </w:rPr>
            </w:pPr>
            <w:r w:rsidRPr="5ACF17FD" w:rsidR="00633A51">
              <w:rPr>
                <w:rFonts w:cs="Arial" w:cstheme="minorAscii"/>
                <w:sz w:val="24"/>
                <w:szCs w:val="24"/>
              </w:rPr>
              <w:t>How will we monitor progress?</w:t>
            </w:r>
          </w:p>
        </w:tc>
      </w:tr>
      <w:tr w:rsidR="00CE11EB" w:rsidTr="0FD163F1" w14:paraId="2FBEF411" w14:textId="073E8042">
        <w:tc>
          <w:tcPr>
            <w:tcW w:w="3397" w:type="dxa"/>
            <w:tcMar/>
          </w:tcPr>
          <w:p w:rsidRPr="00F32BC7" w:rsidR="00CE11EB" w:rsidP="00EC5880" w:rsidRDefault="00693FA0" w14:paraId="7351C3F6" w14:textId="6BE59951">
            <w:pPr>
              <w:spacing w:before="60" w:after="120"/>
            </w:pPr>
            <w:r w:rsidR="7FB35FA1">
              <w:rPr/>
              <w:t>14</w:t>
            </w:r>
          </w:p>
        </w:tc>
        <w:tc>
          <w:tcPr>
            <w:tcW w:w="2835" w:type="dxa"/>
            <w:tcMar/>
          </w:tcPr>
          <w:p w:rsidR="00FA5C48" w:rsidP="5ACF17FD" w:rsidRDefault="00FA5C48" w14:paraId="21919864" w14:textId="3E5A81C0">
            <w:pPr>
              <w:spacing w:before="60" w:after="120"/>
              <w:rPr>
                <w:b w:val="1"/>
                <w:bCs w:val="1"/>
                <w:sz w:val="24"/>
                <w:szCs w:val="24"/>
              </w:rPr>
            </w:pPr>
            <w:r w:rsidRPr="5ACF17FD" w:rsidR="00FA5C48">
              <w:rPr>
                <w:sz w:val="24"/>
                <w:szCs w:val="24"/>
              </w:rPr>
              <w:t xml:space="preserve">Section 1: Safeguarding principles and effective practice: children &gt; Early help and prevention from abuse, neglect and harm &gt; </w:t>
            </w:r>
            <w:r w:rsidRPr="5ACF17FD" w:rsidR="00FA5C48">
              <w:rPr>
                <w:b w:val="1"/>
                <w:bCs w:val="1"/>
                <w:sz w:val="24"/>
                <w:szCs w:val="24"/>
              </w:rPr>
              <w:t>Pointers for Practice: Ways in Which Practitioners Can Contribute to Early Help to Address Emerging Safeguarding Concerns</w:t>
            </w:r>
          </w:p>
          <w:p w:rsidRPr="002E682C" w:rsidR="00FA5C48" w:rsidP="5ACF17FD" w:rsidRDefault="008F3DCB" w14:paraId="44A28E55" w14:textId="77777777">
            <w:pPr>
              <w:spacing w:before="60" w:after="120"/>
              <w:rPr>
                <w:b w:val="1"/>
                <w:bCs w:val="1"/>
                <w:sz w:val="24"/>
                <w:szCs w:val="24"/>
              </w:rPr>
            </w:pPr>
            <w:hyperlink r:id="Rd5465f1f621c49a2">
              <w:r w:rsidRPr="5ACF17FD" w:rsidR="00FA5C48">
                <w:rPr>
                  <w:rStyle w:val="Hyperlink"/>
                  <w:sz w:val="24"/>
                  <w:szCs w:val="24"/>
                </w:rPr>
                <w:t>https://www.safeguarding.wales/chi/cp/c1p.p6.html?highlight=emerging</w:t>
              </w:r>
            </w:hyperlink>
          </w:p>
          <w:p w:rsidRPr="00611101" w:rsidR="00CE11EB" w:rsidP="6D5ED857" w:rsidRDefault="00C852F6" w14:paraId="22D7B579" w14:textId="2F6B0FFE">
            <w:pPr>
              <w:spacing w:before="60" w:after="120"/>
              <w:rPr>
                <w:rFonts w:cs="Arial" w:cstheme="minorAscii"/>
                <w:b w:val="1"/>
                <w:bCs w:val="1"/>
                <w:sz w:val="24"/>
                <w:szCs w:val="24"/>
                <w:lang w:val="en-US"/>
              </w:rPr>
            </w:pPr>
          </w:p>
        </w:tc>
        <w:tc>
          <w:tcPr>
            <w:tcW w:w="8528" w:type="dxa"/>
            <w:tcMar/>
          </w:tcPr>
          <w:p w:rsidRPr="00611101" w:rsidR="00CE11EB" w:rsidP="5ACF17FD" w:rsidRDefault="00CE11EB" w14:paraId="4859953C" w14:textId="77777777">
            <w:pPr>
              <w:spacing w:after="120"/>
              <w:rPr>
                <w:rFonts w:cs="Arial" w:cstheme="minorAscii"/>
                <w:sz w:val="24"/>
                <w:szCs w:val="24"/>
                <w:lang w:val="en-US"/>
              </w:rPr>
            </w:pPr>
          </w:p>
        </w:tc>
      </w:tr>
      <w:tr w:rsidR="00CE11EB" w:rsidTr="0FD163F1" w14:paraId="3D18AB78" w14:textId="4EA35F80">
        <w:tc>
          <w:tcPr>
            <w:tcW w:w="3397" w:type="dxa"/>
            <w:tcMar/>
          </w:tcPr>
          <w:p w:rsidRPr="00F32BC7" w:rsidR="00CE11EB" w:rsidP="00EC5880" w:rsidRDefault="00571B13" w14:paraId="0AD38F44" w14:textId="317E8468">
            <w:pPr>
              <w:spacing w:before="60" w:after="120"/>
            </w:pPr>
            <w:r w:rsidR="0231BA71">
              <w:rPr/>
              <w:t>15</w:t>
            </w:r>
          </w:p>
        </w:tc>
        <w:tc>
          <w:tcPr>
            <w:tcW w:w="2835" w:type="dxa"/>
            <w:tcMar/>
          </w:tcPr>
          <w:p w:rsidR="00596057" w:rsidP="5ACF17FD" w:rsidRDefault="00596057" w14:paraId="1BE6E318" w14:textId="77777777">
            <w:pPr>
              <w:spacing w:before="60" w:after="120"/>
              <w:rPr>
                <w:b w:val="1"/>
                <w:bCs w:val="1"/>
                <w:sz w:val="24"/>
                <w:szCs w:val="24"/>
              </w:rPr>
            </w:pPr>
            <w:r w:rsidRPr="5ACF17FD" w:rsidR="00596057">
              <w:rPr>
                <w:sz w:val="24"/>
                <w:szCs w:val="24"/>
              </w:rPr>
              <w:t xml:space="preserve">Section 1: Safeguarding principles and effective practice: children &gt; Early help and prevention from abuse, neglect and harm &gt; </w:t>
            </w:r>
            <w:r w:rsidRPr="5ACF17FD" w:rsidR="00596057">
              <w:rPr>
                <w:b w:val="1"/>
                <w:bCs w:val="1"/>
                <w:sz w:val="24"/>
                <w:szCs w:val="24"/>
              </w:rPr>
              <w:t>Pointers for Practice: Ways in Which Practitioners Can Contribute to Early Help to Address Emerging Safeguarding Concerns</w:t>
            </w:r>
          </w:p>
          <w:p w:rsidRPr="002E682C" w:rsidR="00596057" w:rsidP="5ACF17FD" w:rsidRDefault="008F3DCB" w14:paraId="03A2E165" w14:textId="77777777">
            <w:pPr>
              <w:spacing w:before="60" w:after="120"/>
              <w:rPr>
                <w:b w:val="1"/>
                <w:bCs w:val="1"/>
                <w:sz w:val="24"/>
                <w:szCs w:val="24"/>
              </w:rPr>
            </w:pPr>
            <w:hyperlink r:id="Rdf4e1d4a89c34f17">
              <w:r w:rsidRPr="5ACF17FD" w:rsidR="00596057">
                <w:rPr>
                  <w:rStyle w:val="Hyperlink"/>
                  <w:sz w:val="24"/>
                  <w:szCs w:val="24"/>
                </w:rPr>
                <w:t>https://www.safeguarding.wales/chi/cp/c1p.p6.html?highlight=emerging</w:t>
              </w:r>
            </w:hyperlink>
          </w:p>
          <w:p w:rsidRPr="00EC5880" w:rsidR="00AC6EFB" w:rsidP="6D5ED857" w:rsidRDefault="0053386C" w14:paraId="712BE69D" w14:textId="0845B870">
            <w:pPr>
              <w:spacing w:before="60" w:after="120"/>
              <w:rPr>
                <w:rFonts w:cs="Arial" w:cstheme="minorAscii"/>
                <w:sz w:val="24"/>
                <w:szCs w:val="24"/>
                <w:lang w:val="en-US"/>
              </w:rPr>
            </w:pPr>
          </w:p>
        </w:tc>
        <w:tc>
          <w:tcPr>
            <w:tcW w:w="8528" w:type="dxa"/>
            <w:tcMar/>
          </w:tcPr>
          <w:p w:rsidRPr="00220FA4" w:rsidR="00CE11EB" w:rsidP="5ACF17FD" w:rsidRDefault="00CE11EB" w14:paraId="3C3AF6BE" w14:textId="77777777">
            <w:pPr>
              <w:spacing w:after="120"/>
              <w:rPr>
                <w:rFonts w:cs="Arial" w:cstheme="minorAscii"/>
                <w:sz w:val="24"/>
                <w:szCs w:val="24"/>
              </w:rPr>
            </w:pPr>
          </w:p>
        </w:tc>
      </w:tr>
    </w:tbl>
    <w:p w:rsidRPr="00EC5880" w:rsidR="00EC5880" w:rsidRDefault="00EC5880" w14:paraId="2E3AEA04" w14:textId="77777777">
      <w:pPr>
        <w:rPr>
          <w:sz w:val="24"/>
          <w:szCs w:val="24"/>
        </w:rPr>
      </w:pPr>
    </w:p>
    <w:p w:rsidR="00EC5880" w:rsidRDefault="00EC5880" w14:paraId="64CF2791" w14:textId="77777777"/>
    <w:sectPr w:rsidR="00EC5880" w:rsidSect="00EC5880">
      <w:headerReference w:type="default" r:id="rId31"/>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DD1" w:rsidP="00054DD1" w:rsidRDefault="00054DD1" w14:paraId="63D194E8" w14:textId="77777777">
      <w:pPr>
        <w:spacing w:after="0" w:line="240" w:lineRule="auto"/>
      </w:pPr>
      <w:r>
        <w:separator/>
      </w:r>
    </w:p>
  </w:endnote>
  <w:endnote w:type="continuationSeparator" w:id="0">
    <w:p w:rsidR="00054DD1" w:rsidP="00054DD1" w:rsidRDefault="00054DD1" w14:paraId="3613D5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n-e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DD1" w:rsidP="00054DD1" w:rsidRDefault="00054DD1" w14:paraId="09EDCBD4" w14:textId="77777777">
      <w:pPr>
        <w:spacing w:after="0" w:line="240" w:lineRule="auto"/>
      </w:pPr>
      <w:r>
        <w:separator/>
      </w:r>
    </w:p>
  </w:footnote>
  <w:footnote w:type="continuationSeparator" w:id="0">
    <w:p w:rsidR="00054DD1" w:rsidP="00054DD1" w:rsidRDefault="00054DD1" w14:paraId="78B6C08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54DD1" w:rsidRDefault="00997E4B" w14:paraId="25D57FB6" w14:textId="10E70A7B">
    <w:pPr>
      <w:pStyle w:val="Header"/>
    </w:pPr>
    <w:r>
      <w:rPr>
        <w:noProof/>
      </w:rPr>
      <w:drawing>
        <wp:anchor distT="0" distB="0" distL="114300" distR="114300" simplePos="0" relativeHeight="251659264" behindDoc="0" locked="0" layoutInCell="1" allowOverlap="1" wp14:anchorId="0A89CAE8" wp14:editId="72929957">
          <wp:simplePos x="0" y="0"/>
          <wp:positionH relativeFrom="column">
            <wp:posOffset>3479800</wp:posOffset>
          </wp:positionH>
          <wp:positionV relativeFrom="paragraph">
            <wp:posOffset>-280035</wp:posOffset>
          </wp:positionV>
          <wp:extent cx="2286000" cy="603250"/>
          <wp:effectExtent l="0" t="0" r="0" b="0"/>
          <wp:wrapSquare wrapText="bothSides"/>
          <wp:docPr id="2" name="Picture 2"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2FA1B01A">
      <w:rPr/>
      <w:t/>
    </w:r>
    <w:r w:rsidR="5ACF17FD">
      <w:rPr/>
      <w:t/>
    </w:r>
    <w:r w:rsidR="7D56739E">
      <w:rPr/>
      <w:t/>
    </w:r>
    <w:r w:rsidR="6D5ED857">
      <w:rPr/>
      <w:t/>
    </w:r>
    <w:r w:rsidR="0FD163F1">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D84032"/>
    <w:multiLevelType w:val="hybrid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3" w15:restartNumberingAfterBreak="0">
    <w:nsid w:val="3F4218E8"/>
    <w:multiLevelType w:val="hybridMultilevel"/>
    <w:tmpl w:val="404C0670"/>
    <w:lvl w:ilvl="0" w:tplc="2DF0AA08">
      <w:start w:val="1"/>
      <w:numFmt w:val="bullet"/>
      <w:lvlText w:val=""/>
      <w:lvlJc w:val="left"/>
      <w:pPr>
        <w:ind w:left="720" w:hanging="360"/>
      </w:pPr>
      <w:rPr>
        <w:rFonts w:hint="default" w:ascii="Symbol" w:hAnsi="Symbol"/>
        <w:color w:val="13B79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95B269B"/>
    <w:multiLevelType w:val="hybridMultilevel"/>
    <w:tmpl w:val="A080D0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880"/>
    <w:rsid w:val="0000335B"/>
    <w:rsid w:val="000211CD"/>
    <w:rsid w:val="000217AA"/>
    <w:rsid w:val="00054DD1"/>
    <w:rsid w:val="00066A01"/>
    <w:rsid w:val="000B1DAE"/>
    <w:rsid w:val="000C5078"/>
    <w:rsid w:val="000D501E"/>
    <w:rsid w:val="000E6999"/>
    <w:rsid w:val="00120851"/>
    <w:rsid w:val="001236DB"/>
    <w:rsid w:val="00125AA6"/>
    <w:rsid w:val="00127A39"/>
    <w:rsid w:val="00167AF5"/>
    <w:rsid w:val="001833E7"/>
    <w:rsid w:val="00196148"/>
    <w:rsid w:val="001A73DE"/>
    <w:rsid w:val="001B2583"/>
    <w:rsid w:val="001D22C2"/>
    <w:rsid w:val="001D7481"/>
    <w:rsid w:val="001E2A23"/>
    <w:rsid w:val="00200302"/>
    <w:rsid w:val="002179BD"/>
    <w:rsid w:val="00220FA4"/>
    <w:rsid w:val="00246FA5"/>
    <w:rsid w:val="002505E8"/>
    <w:rsid w:val="00252AB6"/>
    <w:rsid w:val="00266D34"/>
    <w:rsid w:val="00272DFC"/>
    <w:rsid w:val="00274EE5"/>
    <w:rsid w:val="00280018"/>
    <w:rsid w:val="00280A07"/>
    <w:rsid w:val="00291EA4"/>
    <w:rsid w:val="002B3E34"/>
    <w:rsid w:val="002D3BB5"/>
    <w:rsid w:val="002E682C"/>
    <w:rsid w:val="002F3349"/>
    <w:rsid w:val="00304433"/>
    <w:rsid w:val="00307B70"/>
    <w:rsid w:val="00315E3D"/>
    <w:rsid w:val="003309E2"/>
    <w:rsid w:val="00341C0B"/>
    <w:rsid w:val="003659F2"/>
    <w:rsid w:val="003743B0"/>
    <w:rsid w:val="00392F6B"/>
    <w:rsid w:val="003E1C3B"/>
    <w:rsid w:val="003E6D84"/>
    <w:rsid w:val="004247FD"/>
    <w:rsid w:val="0042544C"/>
    <w:rsid w:val="00436D9F"/>
    <w:rsid w:val="00453E59"/>
    <w:rsid w:val="004558B3"/>
    <w:rsid w:val="004661BB"/>
    <w:rsid w:val="00493D70"/>
    <w:rsid w:val="004B0F31"/>
    <w:rsid w:val="004B1C3A"/>
    <w:rsid w:val="004D2E5C"/>
    <w:rsid w:val="004D5EBC"/>
    <w:rsid w:val="004E566D"/>
    <w:rsid w:val="00505A8A"/>
    <w:rsid w:val="005264F2"/>
    <w:rsid w:val="005268DA"/>
    <w:rsid w:val="0053386C"/>
    <w:rsid w:val="00543301"/>
    <w:rsid w:val="005458BE"/>
    <w:rsid w:val="005632FA"/>
    <w:rsid w:val="00571B13"/>
    <w:rsid w:val="00576D03"/>
    <w:rsid w:val="00585C8C"/>
    <w:rsid w:val="00590FDE"/>
    <w:rsid w:val="00596057"/>
    <w:rsid w:val="005B6FED"/>
    <w:rsid w:val="005B7771"/>
    <w:rsid w:val="005D3CCB"/>
    <w:rsid w:val="005F7BD6"/>
    <w:rsid w:val="00600031"/>
    <w:rsid w:val="0060764B"/>
    <w:rsid w:val="00611101"/>
    <w:rsid w:val="00633A51"/>
    <w:rsid w:val="00654FF4"/>
    <w:rsid w:val="0066465B"/>
    <w:rsid w:val="00665B1A"/>
    <w:rsid w:val="00674B1C"/>
    <w:rsid w:val="00690AE7"/>
    <w:rsid w:val="00693FA0"/>
    <w:rsid w:val="00696571"/>
    <w:rsid w:val="006A3885"/>
    <w:rsid w:val="006B0ED8"/>
    <w:rsid w:val="006F1C4A"/>
    <w:rsid w:val="006F6798"/>
    <w:rsid w:val="0070147A"/>
    <w:rsid w:val="00705CCD"/>
    <w:rsid w:val="00722152"/>
    <w:rsid w:val="007275AA"/>
    <w:rsid w:val="00730E99"/>
    <w:rsid w:val="0075149F"/>
    <w:rsid w:val="007568F4"/>
    <w:rsid w:val="007765E6"/>
    <w:rsid w:val="00784C05"/>
    <w:rsid w:val="007B414C"/>
    <w:rsid w:val="007C4E8C"/>
    <w:rsid w:val="007C5134"/>
    <w:rsid w:val="00820817"/>
    <w:rsid w:val="0083304E"/>
    <w:rsid w:val="00854D58"/>
    <w:rsid w:val="0086321D"/>
    <w:rsid w:val="00877E76"/>
    <w:rsid w:val="0088100A"/>
    <w:rsid w:val="008B5432"/>
    <w:rsid w:val="008C2D32"/>
    <w:rsid w:val="008C2DD8"/>
    <w:rsid w:val="008D3F6C"/>
    <w:rsid w:val="008E0110"/>
    <w:rsid w:val="008E613D"/>
    <w:rsid w:val="008F1979"/>
    <w:rsid w:val="008F3DCB"/>
    <w:rsid w:val="0090433D"/>
    <w:rsid w:val="00905F81"/>
    <w:rsid w:val="009102D4"/>
    <w:rsid w:val="00913814"/>
    <w:rsid w:val="00917FCE"/>
    <w:rsid w:val="00970427"/>
    <w:rsid w:val="0097086B"/>
    <w:rsid w:val="009860B8"/>
    <w:rsid w:val="009942E1"/>
    <w:rsid w:val="00997E4B"/>
    <w:rsid w:val="009C21CF"/>
    <w:rsid w:val="009E35A8"/>
    <w:rsid w:val="00A12896"/>
    <w:rsid w:val="00A261AB"/>
    <w:rsid w:val="00A334A5"/>
    <w:rsid w:val="00A342F1"/>
    <w:rsid w:val="00A6538D"/>
    <w:rsid w:val="00A740E4"/>
    <w:rsid w:val="00A77E54"/>
    <w:rsid w:val="00A84531"/>
    <w:rsid w:val="00A8703F"/>
    <w:rsid w:val="00A91BAF"/>
    <w:rsid w:val="00AA2D98"/>
    <w:rsid w:val="00AB38F1"/>
    <w:rsid w:val="00AB6C31"/>
    <w:rsid w:val="00AC2996"/>
    <w:rsid w:val="00AC6EFB"/>
    <w:rsid w:val="00AF34AD"/>
    <w:rsid w:val="00B11393"/>
    <w:rsid w:val="00B210D8"/>
    <w:rsid w:val="00B2240C"/>
    <w:rsid w:val="00B26D40"/>
    <w:rsid w:val="00B52AF3"/>
    <w:rsid w:val="00B77ECA"/>
    <w:rsid w:val="00B800BE"/>
    <w:rsid w:val="00BB5604"/>
    <w:rsid w:val="00BE60C9"/>
    <w:rsid w:val="00BF7325"/>
    <w:rsid w:val="00C0871E"/>
    <w:rsid w:val="00C10D99"/>
    <w:rsid w:val="00C176F8"/>
    <w:rsid w:val="00C32FE0"/>
    <w:rsid w:val="00C750F4"/>
    <w:rsid w:val="00C852F6"/>
    <w:rsid w:val="00CD7602"/>
    <w:rsid w:val="00CE11EB"/>
    <w:rsid w:val="00D0626E"/>
    <w:rsid w:val="00D20C88"/>
    <w:rsid w:val="00D34B9E"/>
    <w:rsid w:val="00D52FD1"/>
    <w:rsid w:val="00D80CEF"/>
    <w:rsid w:val="00D95D34"/>
    <w:rsid w:val="00DD52C9"/>
    <w:rsid w:val="00DF71D1"/>
    <w:rsid w:val="00E00565"/>
    <w:rsid w:val="00E3194A"/>
    <w:rsid w:val="00E339C1"/>
    <w:rsid w:val="00E83AE3"/>
    <w:rsid w:val="00E84F54"/>
    <w:rsid w:val="00EA5C20"/>
    <w:rsid w:val="00EA64B6"/>
    <w:rsid w:val="00EB4161"/>
    <w:rsid w:val="00EC4CB1"/>
    <w:rsid w:val="00EC5880"/>
    <w:rsid w:val="00ED2E39"/>
    <w:rsid w:val="00EF6DD0"/>
    <w:rsid w:val="00F1131C"/>
    <w:rsid w:val="00F16FF7"/>
    <w:rsid w:val="00F1714E"/>
    <w:rsid w:val="00F32BC7"/>
    <w:rsid w:val="00F349D5"/>
    <w:rsid w:val="00F5588F"/>
    <w:rsid w:val="00F81441"/>
    <w:rsid w:val="00F84791"/>
    <w:rsid w:val="00F86330"/>
    <w:rsid w:val="00F93AB4"/>
    <w:rsid w:val="00F9626A"/>
    <w:rsid w:val="00FA5C48"/>
    <w:rsid w:val="00FC609C"/>
    <w:rsid w:val="00FE7684"/>
    <w:rsid w:val="01A8B7DD"/>
    <w:rsid w:val="0231BA71"/>
    <w:rsid w:val="025F60BC"/>
    <w:rsid w:val="034F9DF2"/>
    <w:rsid w:val="06857954"/>
    <w:rsid w:val="09E35119"/>
    <w:rsid w:val="09F06956"/>
    <w:rsid w:val="0A7A0EB5"/>
    <w:rsid w:val="0B340F35"/>
    <w:rsid w:val="0CC195A2"/>
    <w:rsid w:val="0D166FCF"/>
    <w:rsid w:val="0FD163F1"/>
    <w:rsid w:val="10FBE13E"/>
    <w:rsid w:val="10FF6F9B"/>
    <w:rsid w:val="1309751E"/>
    <w:rsid w:val="138675E9"/>
    <w:rsid w:val="13F870D5"/>
    <w:rsid w:val="14060331"/>
    <w:rsid w:val="16667BC7"/>
    <w:rsid w:val="17599173"/>
    <w:rsid w:val="1D32779B"/>
    <w:rsid w:val="1D5C2D2C"/>
    <w:rsid w:val="1D7BE9C6"/>
    <w:rsid w:val="200B544B"/>
    <w:rsid w:val="201524DB"/>
    <w:rsid w:val="23246C16"/>
    <w:rsid w:val="23E12BD1"/>
    <w:rsid w:val="24F3568B"/>
    <w:rsid w:val="25EA350D"/>
    <w:rsid w:val="26FB34FD"/>
    <w:rsid w:val="27213185"/>
    <w:rsid w:val="277A6980"/>
    <w:rsid w:val="28200A76"/>
    <w:rsid w:val="2B5D7881"/>
    <w:rsid w:val="2D61161F"/>
    <w:rsid w:val="2E9278DB"/>
    <w:rsid w:val="2EDE976A"/>
    <w:rsid w:val="2F10131A"/>
    <w:rsid w:val="2F1B7CC5"/>
    <w:rsid w:val="2FA1B01A"/>
    <w:rsid w:val="30AD276E"/>
    <w:rsid w:val="323217BF"/>
    <w:rsid w:val="335931B8"/>
    <w:rsid w:val="349338B2"/>
    <w:rsid w:val="3523ED41"/>
    <w:rsid w:val="358ACDF9"/>
    <w:rsid w:val="35B1A040"/>
    <w:rsid w:val="35CDF250"/>
    <w:rsid w:val="367E7011"/>
    <w:rsid w:val="3816EAA8"/>
    <w:rsid w:val="39DFFD83"/>
    <w:rsid w:val="3B5C5D8D"/>
    <w:rsid w:val="3BBD6E9B"/>
    <w:rsid w:val="3C6B0F83"/>
    <w:rsid w:val="3CB4B2FE"/>
    <w:rsid w:val="3CBBBB02"/>
    <w:rsid w:val="3D7EED96"/>
    <w:rsid w:val="3DB5019B"/>
    <w:rsid w:val="4356A294"/>
    <w:rsid w:val="46DC73AC"/>
    <w:rsid w:val="486D7C72"/>
    <w:rsid w:val="48CAA09B"/>
    <w:rsid w:val="4A668C6E"/>
    <w:rsid w:val="4AD3E7AF"/>
    <w:rsid w:val="4ADFD912"/>
    <w:rsid w:val="4B13BB16"/>
    <w:rsid w:val="4B82A70C"/>
    <w:rsid w:val="5005BA6D"/>
    <w:rsid w:val="51B2A9BB"/>
    <w:rsid w:val="51C387A6"/>
    <w:rsid w:val="52721FD8"/>
    <w:rsid w:val="53F70305"/>
    <w:rsid w:val="540FC1BA"/>
    <w:rsid w:val="5442578E"/>
    <w:rsid w:val="55A30631"/>
    <w:rsid w:val="5627B44B"/>
    <w:rsid w:val="569EA847"/>
    <w:rsid w:val="5772C053"/>
    <w:rsid w:val="57ADA630"/>
    <w:rsid w:val="5A988EC6"/>
    <w:rsid w:val="5ACF17FD"/>
    <w:rsid w:val="5BCC8A79"/>
    <w:rsid w:val="5F49842A"/>
    <w:rsid w:val="60492495"/>
    <w:rsid w:val="6080EC68"/>
    <w:rsid w:val="608AF0D6"/>
    <w:rsid w:val="60C4952B"/>
    <w:rsid w:val="60CF1532"/>
    <w:rsid w:val="60DAA133"/>
    <w:rsid w:val="621645D5"/>
    <w:rsid w:val="622D44F1"/>
    <w:rsid w:val="63114674"/>
    <w:rsid w:val="6495D5A3"/>
    <w:rsid w:val="665EBCDF"/>
    <w:rsid w:val="689092AF"/>
    <w:rsid w:val="68B682B9"/>
    <w:rsid w:val="69469807"/>
    <w:rsid w:val="6A66C75D"/>
    <w:rsid w:val="6A8CE011"/>
    <w:rsid w:val="6D5ED857"/>
    <w:rsid w:val="6DE66FF8"/>
    <w:rsid w:val="6E940377"/>
    <w:rsid w:val="6F1E156C"/>
    <w:rsid w:val="6F4B081C"/>
    <w:rsid w:val="6F65BEF8"/>
    <w:rsid w:val="7083A952"/>
    <w:rsid w:val="715EE9A4"/>
    <w:rsid w:val="726EEA7F"/>
    <w:rsid w:val="7527F48E"/>
    <w:rsid w:val="76958B6C"/>
    <w:rsid w:val="76D6E1B0"/>
    <w:rsid w:val="780D68C9"/>
    <w:rsid w:val="798D9AC9"/>
    <w:rsid w:val="7A5E67C4"/>
    <w:rsid w:val="7B9EFC15"/>
    <w:rsid w:val="7CD10867"/>
    <w:rsid w:val="7D494A35"/>
    <w:rsid w:val="7D56739E"/>
    <w:rsid w:val="7D5B4B62"/>
    <w:rsid w:val="7F5DFF73"/>
    <w:rsid w:val="7F64D45C"/>
    <w:rsid w:val="7FB35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1" w:customStyle="1">
    <w:name w:val="Unresolved Mention1"/>
    <w:basedOn w:val="DefaultParagraphFont"/>
    <w:uiPriority w:val="99"/>
    <w:semiHidden/>
    <w:unhideWhenUsed/>
    <w:rsid w:val="008D3F6C"/>
    <w:rPr>
      <w:color w:val="605E5C"/>
      <w:shd w:val="clear" w:color="auto" w:fill="E1DFDD"/>
    </w:rPr>
  </w:style>
  <w:style w:type="paragraph" w:styleId="Header">
    <w:name w:val="header"/>
    <w:basedOn w:val="Normal"/>
    <w:link w:val="HeaderChar"/>
    <w:uiPriority w:val="99"/>
    <w:unhideWhenUsed/>
    <w:rsid w:val="00054DD1"/>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4DD1"/>
  </w:style>
  <w:style w:type="paragraph" w:styleId="Footer">
    <w:name w:val="footer"/>
    <w:basedOn w:val="Normal"/>
    <w:link w:val="FooterChar"/>
    <w:uiPriority w:val="99"/>
    <w:unhideWhenUsed/>
    <w:rsid w:val="00054DD1"/>
    <w:pPr>
      <w:tabs>
        <w:tab w:val="center" w:pos="4513"/>
        <w:tab w:val="right" w:pos="9026"/>
      </w:tabs>
      <w:spacing w:after="0" w:line="240" w:lineRule="auto"/>
    </w:pPr>
  </w:style>
  <w:style w:type="character" w:styleId="FooterChar" w:customStyle="1">
    <w:name w:val="Footer Char"/>
    <w:basedOn w:val="DefaultParagraphFont"/>
    <w:link w:val="Footer"/>
    <w:uiPriority w:val="99"/>
    <w:rsid w:val="00054DD1"/>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256866469">
      <w:bodyDiv w:val="1"/>
      <w:marLeft w:val="0"/>
      <w:marRight w:val="0"/>
      <w:marTop w:val="0"/>
      <w:marBottom w:val="0"/>
      <w:divBdr>
        <w:top w:val="none" w:sz="0" w:space="0" w:color="auto"/>
        <w:left w:val="none" w:sz="0" w:space="0" w:color="auto"/>
        <w:bottom w:val="none" w:sz="0" w:space="0" w:color="auto"/>
        <w:right w:val="none" w:sz="0" w:space="0" w:color="auto"/>
      </w:divBdr>
    </w:div>
    <w:div w:id="334961029">
      <w:bodyDiv w:val="1"/>
      <w:marLeft w:val="0"/>
      <w:marRight w:val="0"/>
      <w:marTop w:val="0"/>
      <w:marBottom w:val="0"/>
      <w:divBdr>
        <w:top w:val="none" w:sz="0" w:space="0" w:color="auto"/>
        <w:left w:val="none" w:sz="0" w:space="0" w:color="auto"/>
        <w:bottom w:val="none" w:sz="0" w:space="0" w:color="auto"/>
        <w:right w:val="none" w:sz="0" w:space="0" w:color="auto"/>
      </w:divBdr>
    </w:div>
    <w:div w:id="395127465">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74701378">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99932944">
      <w:bodyDiv w:val="1"/>
      <w:marLeft w:val="0"/>
      <w:marRight w:val="0"/>
      <w:marTop w:val="0"/>
      <w:marBottom w:val="0"/>
      <w:divBdr>
        <w:top w:val="none" w:sz="0" w:space="0" w:color="auto"/>
        <w:left w:val="none" w:sz="0" w:space="0" w:color="auto"/>
        <w:bottom w:val="none" w:sz="0" w:space="0" w:color="auto"/>
        <w:right w:val="none" w:sz="0" w:space="0" w:color="auto"/>
      </w:divBdr>
    </w:div>
    <w:div w:id="802233145">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094977495">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419400975">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27601145">
      <w:bodyDiv w:val="1"/>
      <w:marLeft w:val="0"/>
      <w:marRight w:val="0"/>
      <w:marTop w:val="0"/>
      <w:marBottom w:val="0"/>
      <w:divBdr>
        <w:top w:val="none" w:sz="0" w:space="0" w:color="auto"/>
        <w:left w:val="none" w:sz="0" w:space="0" w:color="auto"/>
        <w:bottom w:val="none" w:sz="0" w:space="0" w:color="auto"/>
        <w:right w:val="none" w:sz="0" w:space="0" w:color="auto"/>
      </w:divBdr>
    </w:div>
    <w:div w:id="1534657231">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748769633">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2026595364">
      <w:bodyDiv w:val="1"/>
      <w:marLeft w:val="0"/>
      <w:marRight w:val="0"/>
      <w:marTop w:val="0"/>
      <w:marBottom w:val="0"/>
      <w:divBdr>
        <w:top w:val="none" w:sz="0" w:space="0" w:color="auto"/>
        <w:left w:val="none" w:sz="0" w:space="0" w:color="auto"/>
        <w:bottom w:val="none" w:sz="0" w:space="0" w:color="auto"/>
        <w:right w:val="none" w:sz="0" w:space="0" w:color="auto"/>
      </w:divBdr>
    </w:div>
    <w:div w:id="2127235104">
      <w:bodyDiv w:val="1"/>
      <w:marLeft w:val="0"/>
      <w:marRight w:val="0"/>
      <w:marTop w:val="0"/>
      <w:marBottom w:val="0"/>
      <w:divBdr>
        <w:top w:val="none" w:sz="0" w:space="0" w:color="auto"/>
        <w:left w:val="none" w:sz="0" w:space="0" w:color="auto"/>
        <w:bottom w:val="none" w:sz="0" w:space="0" w:color="auto"/>
        <w:right w:val="none" w:sz="0" w:space="0" w:color="auto"/>
      </w:divBdr>
    </w:div>
    <w:div w:id="21295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32" /><Relationship Type="http://schemas.openxmlformats.org/officeDocument/2006/relationships/styles" Target="styles.xml" Id="rId5" /><Relationship Type="http://schemas.openxmlformats.org/officeDocument/2006/relationships/header" Target="header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notes" Target="footnotes.xml" Id="rId8" /><Relationship Type="http://schemas.openxmlformats.org/officeDocument/2006/relationships/hyperlink" Target="https://law.gov.wales/publicservices/social-care/Local-authority-responsibilities/general-and-strategic-duties/information-advice-and-assistance/?lang=en" TargetMode="External" Id="R4ca3eae45ca04af4" /><Relationship Type="http://schemas.openxmlformats.org/officeDocument/2006/relationships/hyperlink" Target="https://gov.wales/sites/default/files/publications/2019-05/working-together-to-safeguard-people-volume-5-handling-individual-cases-to-protect-children-at-risk.pdf" TargetMode="External" Id="R53d97c9cbb0d40c3" /><Relationship Type="http://schemas.openxmlformats.org/officeDocument/2006/relationships/hyperlink" Target="https://www.safeguarding.wales/chi/cp/c1p.p6.html?highlight=emerging" TargetMode="External" Id="Rd5465f1f621c49a2" /><Relationship Type="http://schemas.openxmlformats.org/officeDocument/2006/relationships/hyperlink" Target="https://www.safeguarding.wales/chi/cp/c1p.p6.html?highlight=emerging" TargetMode="External" Id="Rdf4e1d4a89c34f17" /><Relationship Type="http://schemas.openxmlformats.org/officeDocument/2006/relationships/hyperlink" Target="https://www.safeguarding.wales/chi/cp/c1p.p1.html" TargetMode="External" Id="Ra74e26cd523f4b45" /></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4B913-AC07-4E1D-81BF-CD837B40BA7B}">
  <ds:schemaRefs>
    <ds:schemaRef ds:uri="http://schemas.microsoft.com/sharepoint/v3/contenttype/forms"/>
  </ds:schemaRefs>
</ds:datastoreItem>
</file>

<file path=customXml/itemProps2.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15</revision>
  <dcterms:created xsi:type="dcterms:W3CDTF">2020-02-28T11:24:00.0000000Z</dcterms:created>
  <dcterms:modified xsi:type="dcterms:W3CDTF">2020-09-28T08:08:59.2268267Z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