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0A19E3" w:rsidP="0005205D">
      <w:pPr>
        <w:spacing w:before="60" w:after="60"/>
        <w:rPr>
          <w:b/>
          <w:sz w:val="36"/>
        </w:rPr>
      </w:pPr>
      <w:r>
        <w:rPr>
          <w:b/>
          <w:sz w:val="36"/>
        </w:rPr>
        <w:t>HANDOUT</w:t>
      </w:r>
    </w:p>
    <w:p w:rsidR="00653824" w:rsidRDefault="00653824" w:rsidP="00A60B65"/>
    <w:p w:rsidR="00A60B65" w:rsidRPr="00FA0525" w:rsidRDefault="003A61EC"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Mental Capacity Act 2005</w:t>
      </w:r>
    </w:p>
    <w:p w:rsidR="00E354E3" w:rsidRPr="008D6D0E" w:rsidRDefault="005D358F" w:rsidP="008D6D0E">
      <w:pPr>
        <w:pStyle w:val="Heading1"/>
      </w:pPr>
      <w:r>
        <w:t>Introduction</w:t>
      </w:r>
    </w:p>
    <w:p w:rsidR="007A0A66" w:rsidRPr="007A0A66" w:rsidRDefault="003A61EC" w:rsidP="007A0A66">
      <w:pPr>
        <w:rPr>
          <w:lang w:eastAsia="en-GB"/>
        </w:rPr>
      </w:pPr>
      <w:r w:rsidRPr="000C307D">
        <w:rPr>
          <w:szCs w:val="24"/>
        </w:rPr>
        <w:t xml:space="preserve">The Mental Capacity Act (MCA) is about protecting and promoting the rights of </w:t>
      </w:r>
      <w:r w:rsidR="00184412">
        <w:rPr>
          <w:szCs w:val="24"/>
        </w:rPr>
        <w:t xml:space="preserve">individuals (adults and children aged 16 or 17) </w:t>
      </w:r>
      <w:r w:rsidR="000C307D" w:rsidRPr="000C307D">
        <w:rPr>
          <w:rFonts w:eastAsia="Times New Roman"/>
          <w:szCs w:val="24"/>
          <w:lang w:eastAsia="en-GB"/>
        </w:rPr>
        <w:t>who lack capacity to make a particular decision or take a particular action for themselves at the time the decision or action needs to be taken i.e. it is ‘decision specific’.</w:t>
      </w:r>
      <w:r w:rsidR="000C307D" w:rsidRPr="000C307D">
        <w:rPr>
          <w:szCs w:val="24"/>
        </w:rPr>
        <w:t xml:space="preserve"> </w:t>
      </w:r>
      <w:r w:rsidR="000C307D" w:rsidRPr="000C307D">
        <w:rPr>
          <w:rFonts w:eastAsia="Times New Roman"/>
          <w:szCs w:val="24"/>
          <w:lang w:eastAsia="en-GB"/>
        </w:rPr>
        <w:t xml:space="preserve">This reflects the fact that people may lack capacity to make some decisions for </w:t>
      </w:r>
      <w:proofErr w:type="gramStart"/>
      <w:r w:rsidR="000C307D" w:rsidRPr="000C307D">
        <w:rPr>
          <w:rFonts w:eastAsia="Times New Roman"/>
          <w:szCs w:val="24"/>
          <w:lang w:eastAsia="en-GB"/>
        </w:rPr>
        <w:t>themselves</w:t>
      </w:r>
      <w:proofErr w:type="gramEnd"/>
      <w:r w:rsidR="000C307D" w:rsidRPr="000C307D">
        <w:rPr>
          <w:rFonts w:eastAsia="Times New Roman"/>
          <w:szCs w:val="24"/>
          <w:lang w:eastAsia="en-GB"/>
        </w:rPr>
        <w:t xml:space="preserve">, but will have capacity to make other decisions. It also reflects the fact that their </w:t>
      </w:r>
      <w:r w:rsidR="000C307D" w:rsidRPr="000C307D">
        <w:rPr>
          <w:szCs w:val="24"/>
        </w:rPr>
        <w:t>lack of capacity may be temporary.</w:t>
      </w:r>
      <w:r w:rsidR="000C307D" w:rsidRPr="000C307D">
        <w:rPr>
          <w:rFonts w:eastAsia="Times New Roman"/>
          <w:szCs w:val="24"/>
          <w:lang w:eastAsia="en-GB"/>
        </w:rPr>
        <w:t xml:space="preserve"> This may be because they have an illness or condition that means their capacity changes or it may be because at the time the decision needs to be made they are unconscious or their ability to make a decision may be affected by the influence of alcohol or drugs for instance.</w:t>
      </w:r>
      <w:r w:rsidR="007A0A66">
        <w:rPr>
          <w:rFonts w:eastAsia="Times New Roman"/>
          <w:szCs w:val="24"/>
          <w:lang w:eastAsia="en-GB"/>
        </w:rPr>
        <w:t xml:space="preserve"> </w:t>
      </w:r>
      <w:r w:rsidR="007A0A66" w:rsidRPr="007A0A66">
        <w:rPr>
          <w:lang w:eastAsia="en-GB"/>
        </w:rPr>
        <w:t>Th</w:t>
      </w:r>
      <w:r w:rsidR="007A0A66">
        <w:rPr>
          <w:lang w:eastAsia="en-GB"/>
        </w:rPr>
        <w:t>e underlying philosophy of the MCA</w:t>
      </w:r>
      <w:r w:rsidR="007A0A66" w:rsidRPr="007A0A66">
        <w:rPr>
          <w:lang w:eastAsia="en-GB"/>
        </w:rPr>
        <w:t xml:space="preserve"> is to ensure that any decision made, or action taken, on behalf of someone who lacks the capacity to make the decision or act for themselves is made in their best interests.</w:t>
      </w:r>
    </w:p>
    <w:p w:rsidR="000C307D" w:rsidRPr="000C307D" w:rsidRDefault="000C307D" w:rsidP="003A61EC">
      <w:pPr>
        <w:rPr>
          <w:szCs w:val="24"/>
        </w:rPr>
      </w:pPr>
    </w:p>
    <w:p w:rsidR="003A61EC" w:rsidRDefault="003A61EC" w:rsidP="003A61EC">
      <w:r>
        <w:t xml:space="preserve">All </w:t>
      </w:r>
      <w:r w:rsidR="00184412">
        <w:t>practitioners</w:t>
      </w:r>
      <w:r>
        <w:t xml:space="preserve"> providing advice and assistance, assessing care and support needs, and undertaking care planning and reviews</w:t>
      </w:r>
      <w:r w:rsidR="00C45494">
        <w:t>,</w:t>
      </w:r>
      <w:r>
        <w:t xml:space="preserve"> as well as safeguarding enquiries are expected to understand the MCA and to apply it, including understanding how the MCA interfaces with the </w:t>
      </w:r>
      <w:r w:rsidR="009A013C">
        <w:t xml:space="preserve">Social Services and Well-being (Wales) </w:t>
      </w:r>
      <w:r>
        <w:t>Act</w:t>
      </w:r>
      <w:r w:rsidR="009A013C">
        <w:t xml:space="preserve"> 2014</w:t>
      </w:r>
      <w:r>
        <w:t xml:space="preserve">. </w:t>
      </w:r>
      <w:r w:rsidRPr="00425F75">
        <w:t>They must be able to:</w:t>
      </w:r>
    </w:p>
    <w:p w:rsidR="003A61EC" w:rsidRPr="00425F75" w:rsidRDefault="003A61EC" w:rsidP="003A61EC"/>
    <w:p w:rsidR="003A61EC" w:rsidRPr="00425F75" w:rsidRDefault="003A61EC" w:rsidP="003A61EC">
      <w:pPr>
        <w:pStyle w:val="Bullet10"/>
        <w:numPr>
          <w:ilvl w:val="0"/>
          <w:numId w:val="19"/>
        </w:numPr>
        <w:spacing w:after="60"/>
        <w:ind w:left="425" w:hanging="425"/>
      </w:pPr>
      <w:r w:rsidRPr="00425F75">
        <w:t>evidence that they are using the MCA principles</w:t>
      </w:r>
    </w:p>
    <w:p w:rsidR="003A61EC" w:rsidRPr="00425F75" w:rsidRDefault="003A61EC" w:rsidP="003A61EC">
      <w:pPr>
        <w:pStyle w:val="Bullet10"/>
        <w:numPr>
          <w:ilvl w:val="0"/>
          <w:numId w:val="19"/>
        </w:numPr>
        <w:spacing w:after="60"/>
        <w:ind w:left="425" w:hanging="425"/>
      </w:pPr>
      <w:r w:rsidRPr="00425F75">
        <w:t>understand supported decision making; and the importance of considering least restrictive interventions</w:t>
      </w:r>
    </w:p>
    <w:p w:rsidR="003A61EC" w:rsidRPr="00425F75" w:rsidRDefault="003A61EC" w:rsidP="003A61EC">
      <w:pPr>
        <w:pStyle w:val="Bullet10"/>
        <w:numPr>
          <w:ilvl w:val="0"/>
          <w:numId w:val="19"/>
        </w:numPr>
        <w:spacing w:after="60"/>
        <w:ind w:left="425" w:hanging="425"/>
      </w:pPr>
      <w:r w:rsidRPr="00425F75">
        <w:t>understand how capacity assessments are made; how best interests decisions are made, and what a deprivation of liberty is</w:t>
      </w:r>
    </w:p>
    <w:p w:rsidR="003A61EC" w:rsidRDefault="003A61EC" w:rsidP="003A61EC"/>
    <w:p w:rsidR="003A61EC" w:rsidRDefault="003A61EC" w:rsidP="003A61EC">
      <w:r w:rsidRPr="00425F75">
        <w:t>They are expected to have some knowledge of relevant case law and key messages from the Court of Protection</w:t>
      </w:r>
      <w:r>
        <w:t>.</w:t>
      </w:r>
    </w:p>
    <w:p w:rsidR="003A61EC" w:rsidRPr="00425F75" w:rsidRDefault="003A61EC" w:rsidP="003A61EC"/>
    <w:p w:rsidR="003A61EC" w:rsidRDefault="003A61EC" w:rsidP="003A61EC">
      <w:pPr>
        <w:pStyle w:val="Heading1"/>
      </w:pPr>
      <w:r>
        <w:t>Independent Mental Capacity Advocates</w:t>
      </w:r>
    </w:p>
    <w:p w:rsidR="003A61EC" w:rsidRPr="004426D3" w:rsidRDefault="003A61EC" w:rsidP="009A013C">
      <w:r>
        <w:t>The MCA introduced Independent Mental Capacity Advocates (IMCAs). Under the MCA, w</w:t>
      </w:r>
      <w:r w:rsidRPr="004426D3">
        <w:t xml:space="preserve">hen people meet the IMCA criteria, </w:t>
      </w:r>
      <w:r>
        <w:t>l</w:t>
      </w:r>
      <w:r w:rsidRPr="004426D3">
        <w:t xml:space="preserve">ocal </w:t>
      </w:r>
      <w:r>
        <w:t>a</w:t>
      </w:r>
      <w:r w:rsidRPr="004426D3">
        <w:t xml:space="preserve">uthorities and the NHS have a </w:t>
      </w:r>
      <w:r w:rsidRPr="004426D3">
        <w:rPr>
          <w:b/>
          <w:bCs/>
        </w:rPr>
        <w:t>duty</w:t>
      </w:r>
      <w:r w:rsidRPr="004426D3">
        <w:t xml:space="preserve"> to instruct an IMCA for changes in accommodation and serious medical treatment decisions. For care reviews and adult protection procedures, </w:t>
      </w:r>
      <w:r>
        <w:t>l</w:t>
      </w:r>
      <w:r w:rsidRPr="004426D3">
        <w:t xml:space="preserve">ocal </w:t>
      </w:r>
      <w:r>
        <w:lastRenderedPageBreak/>
        <w:t>a</w:t>
      </w:r>
      <w:r w:rsidRPr="004426D3">
        <w:t xml:space="preserve">uthorities and the NHS have </w:t>
      </w:r>
      <w:r w:rsidRPr="004426D3">
        <w:rPr>
          <w:b/>
          <w:bCs/>
        </w:rPr>
        <w:t>powers</w:t>
      </w:r>
      <w:r w:rsidRPr="004426D3">
        <w:t xml:space="preserve"> to appoint an IMCA (where they consider it beneficial).</w:t>
      </w:r>
    </w:p>
    <w:p w:rsidR="009A013C" w:rsidRDefault="009A013C" w:rsidP="009A013C"/>
    <w:p w:rsidR="003A61EC" w:rsidRPr="004426D3" w:rsidRDefault="003A61EC" w:rsidP="009A013C">
      <w:r w:rsidRPr="004426D3">
        <w:t>IMCAs are independent and work for advocacy providers who are not part of a local authority or the NHS.</w:t>
      </w:r>
      <w:r>
        <w:t xml:space="preserve"> </w:t>
      </w:r>
      <w:r w:rsidRPr="004426D3">
        <w:t>The MCA requires ‘decision-specific’ assessments of capacity. The IMCA will stop being involved in a case once the decision has been finalised and they are aware that the proposed action has been carried out. They will not be able to provide on-going advocacy support to the person. If it is felt that a person needs advocacy support after the IMCA has withdrawn, it may be necessary to make a referral to a local advocacy organisation.</w:t>
      </w:r>
    </w:p>
    <w:p w:rsidR="009A013C" w:rsidRDefault="009A013C" w:rsidP="009A013C"/>
    <w:p w:rsidR="003A61EC" w:rsidRDefault="003A61EC" w:rsidP="009A013C">
      <w:r w:rsidRPr="004426D3">
        <w:t>The right to an IMCA applies to decisions about long-term accommodation moves to or from a hospital or care home or a move between such accommodations</w:t>
      </w:r>
      <w:r>
        <w:t xml:space="preserve"> (</w:t>
      </w:r>
      <w:r w:rsidRPr="004426D3">
        <w:t>and serious medical treatment decisions</w:t>
      </w:r>
      <w:r>
        <w:t>)</w:t>
      </w:r>
      <w:r w:rsidRPr="004426D3">
        <w:t>. An IMCA safeguards the rights of people who:</w:t>
      </w:r>
    </w:p>
    <w:p w:rsidR="009A013C" w:rsidRPr="004426D3" w:rsidRDefault="009A013C" w:rsidP="009A013C"/>
    <w:p w:rsidR="003A61EC" w:rsidRPr="004426D3" w:rsidRDefault="003A61EC" w:rsidP="009A013C">
      <w:pPr>
        <w:pStyle w:val="Bullet10"/>
      </w:pPr>
      <w:r w:rsidRPr="004426D3">
        <w:t>are facing a decision about a long-term move</w:t>
      </w:r>
      <w:r>
        <w:t>;</w:t>
      </w:r>
      <w:r w:rsidR="009A013C">
        <w:t xml:space="preserve"> </w:t>
      </w:r>
      <w:r w:rsidR="009A013C" w:rsidRPr="009A013C">
        <w:rPr>
          <w:b/>
        </w:rPr>
        <w:t>and</w:t>
      </w:r>
    </w:p>
    <w:p w:rsidR="003A61EC" w:rsidRPr="004426D3" w:rsidRDefault="003A61EC" w:rsidP="009A013C">
      <w:pPr>
        <w:pStyle w:val="Bullet10"/>
      </w:pPr>
      <w:r w:rsidRPr="004426D3">
        <w:t xml:space="preserve">lack capacity to make a specified decision at the time it needs to be made; </w:t>
      </w:r>
      <w:r w:rsidRPr="003D638C">
        <w:rPr>
          <w:b/>
        </w:rPr>
        <w:t>and</w:t>
      </w:r>
    </w:p>
    <w:p w:rsidR="003A61EC" w:rsidRPr="004426D3" w:rsidRDefault="003A61EC" w:rsidP="009A013C">
      <w:pPr>
        <w:pStyle w:val="Bullet10"/>
      </w:pPr>
      <w:proofErr w:type="gramStart"/>
      <w:r w:rsidRPr="004426D3">
        <w:t>have</w:t>
      </w:r>
      <w:proofErr w:type="gramEnd"/>
      <w:r w:rsidRPr="004426D3">
        <w:t xml:space="preserve"> nobody else who is willing and able to represent them or be consulted in the process of working out their best interests, other than paid staff.</w:t>
      </w:r>
    </w:p>
    <w:p w:rsidR="009A013C" w:rsidRDefault="009A013C" w:rsidP="009A013C"/>
    <w:p w:rsidR="003A61EC" w:rsidRDefault="003A61EC" w:rsidP="009A013C">
      <w:r w:rsidRPr="004426D3">
        <w:t>An IMCA cannot be involved if a person has capacity (or the proposed long-term change in accommodation is a requirement under the Mental Health Act 1983).</w:t>
      </w:r>
    </w:p>
    <w:p w:rsidR="009A013C" w:rsidRPr="004426D3" w:rsidRDefault="009A013C" w:rsidP="009A013C"/>
    <w:p w:rsidR="003A61EC" w:rsidRDefault="003A61EC" w:rsidP="009A013C">
      <w:r w:rsidRPr="004426D3">
        <w:t>Individual IMCAs must:</w:t>
      </w:r>
    </w:p>
    <w:p w:rsidR="009A013C" w:rsidRDefault="009A013C" w:rsidP="009A013C"/>
    <w:p w:rsidR="003A61EC" w:rsidRPr="002F10AC" w:rsidRDefault="003A61EC" w:rsidP="009A013C">
      <w:pPr>
        <w:pStyle w:val="Bullet10"/>
      </w:pPr>
      <w:r w:rsidRPr="002F10AC">
        <w:t>have specific experience (related to working with people who need support with making decisions, advocacy experience and experience of health and social care systems)</w:t>
      </w:r>
    </w:p>
    <w:p w:rsidR="003A61EC" w:rsidRPr="002F10AC" w:rsidRDefault="003A61EC" w:rsidP="009A013C">
      <w:pPr>
        <w:pStyle w:val="Bullet10"/>
      </w:pPr>
      <w:r w:rsidRPr="002F10AC">
        <w:t>have IMCA training</w:t>
      </w:r>
    </w:p>
    <w:p w:rsidR="003A61EC" w:rsidRPr="002F10AC" w:rsidRDefault="003A61EC" w:rsidP="009A013C">
      <w:pPr>
        <w:pStyle w:val="Bullet10"/>
      </w:pPr>
      <w:r w:rsidRPr="002F10AC">
        <w:t>have integrity and a good character</w:t>
      </w:r>
    </w:p>
    <w:p w:rsidR="003A61EC" w:rsidRPr="002F10AC" w:rsidRDefault="00C45494" w:rsidP="009A013C">
      <w:pPr>
        <w:pStyle w:val="Bullet10"/>
      </w:pPr>
      <w:r>
        <w:t>be able to act independently</w:t>
      </w:r>
    </w:p>
    <w:p w:rsidR="009A013C" w:rsidRDefault="009A013C" w:rsidP="003A61EC"/>
    <w:p w:rsidR="00A516DF" w:rsidRDefault="003A61EC" w:rsidP="003A61EC">
      <w:r>
        <w:t>They must also understand how to support and represent people who have dementia and learning disabilities or other mental impairments</w:t>
      </w:r>
      <w:r w:rsidR="00C45494">
        <w:t>,</w:t>
      </w:r>
      <w:r>
        <w:t xml:space="preserve"> which mean </w:t>
      </w:r>
      <w:r w:rsidR="009A013C">
        <w:t xml:space="preserve">that the person’s </w:t>
      </w:r>
      <w:r>
        <w:t>decision making is impaired.</w:t>
      </w:r>
    </w:p>
    <w:p w:rsidR="00A11033" w:rsidRDefault="00A11033" w:rsidP="00A60B65"/>
    <w:p w:rsidR="00624350" w:rsidRDefault="00624350" w:rsidP="00624350">
      <w:pPr>
        <w:pStyle w:val="Heading1"/>
      </w:pPr>
      <w:r>
        <w:t xml:space="preserve">Interface with the Social Services and </w:t>
      </w:r>
      <w:r w:rsidR="00C45494">
        <w:br/>
      </w:r>
      <w:bookmarkStart w:id="0" w:name="_GoBack"/>
      <w:bookmarkEnd w:id="0"/>
      <w:r>
        <w:t>Well-being (Wales) Act 2014</w:t>
      </w:r>
    </w:p>
    <w:p w:rsidR="00624350" w:rsidRDefault="00624350" w:rsidP="00624350">
      <w:r w:rsidRPr="003563E9">
        <w:t>There are similarities</w:t>
      </w:r>
      <w:r>
        <w:t xml:space="preserve"> with </w:t>
      </w:r>
      <w:r w:rsidR="007A0A66">
        <w:t xml:space="preserve">independent </w:t>
      </w:r>
      <w:r>
        <w:t>advocacy under both Acts</w:t>
      </w:r>
      <w:r w:rsidRPr="003563E9">
        <w:t>, however</w:t>
      </w:r>
      <w:r>
        <w:t>,</w:t>
      </w:r>
      <w:r w:rsidRPr="003563E9">
        <w:t xml:space="preserve"> the duty to provide independent advocacy under the </w:t>
      </w:r>
      <w:r>
        <w:t xml:space="preserve">Social Services and Well-being (Wales) Act 2014 </w:t>
      </w:r>
      <w:r w:rsidRPr="003563E9">
        <w:t>is broader</w:t>
      </w:r>
      <w:r>
        <w:t xml:space="preserve"> and applies to a wider set of circumstances</w:t>
      </w:r>
      <w:r w:rsidRPr="003563E9">
        <w:t xml:space="preserve">. </w:t>
      </w:r>
      <w:r>
        <w:t>The 2014 Act provides independent advocacy support to:</w:t>
      </w:r>
    </w:p>
    <w:p w:rsidR="00624350" w:rsidRDefault="00624350" w:rsidP="00624350"/>
    <w:p w:rsidR="00624350" w:rsidRDefault="00624350" w:rsidP="00624350">
      <w:pPr>
        <w:pStyle w:val="Bullet10"/>
      </w:pPr>
      <w:r>
        <w:t xml:space="preserve">people who have capacity, but who </w:t>
      </w:r>
      <w:r w:rsidR="00D32A9B">
        <w:t xml:space="preserve">would </w:t>
      </w:r>
      <w:r w:rsidR="00711F77">
        <w:t xml:space="preserve">experience </w:t>
      </w:r>
      <w:r w:rsidR="00D32A9B">
        <w:t xml:space="preserve">barriers </w:t>
      </w:r>
      <w:r w:rsidR="00711F77">
        <w:t>in</w:t>
      </w:r>
      <w:r w:rsidR="00D32A9B">
        <w:t xml:space="preserve"> participatin</w:t>
      </w:r>
      <w:r w:rsidR="00711F77">
        <w:t>g fully</w:t>
      </w:r>
      <w:r>
        <w:t xml:space="preserve"> in the key care and support processes</w:t>
      </w:r>
      <w:r w:rsidR="00D32A9B">
        <w:t xml:space="preserve"> </w:t>
      </w:r>
      <w:r w:rsidR="00D32A9B">
        <w:rPr>
          <w:color w:val="000000"/>
          <w:szCs w:val="24"/>
        </w:rPr>
        <w:t>unless</w:t>
      </w:r>
      <w:r w:rsidR="00D32A9B" w:rsidRPr="00BF2A6C">
        <w:rPr>
          <w:color w:val="000000"/>
          <w:szCs w:val="24"/>
        </w:rPr>
        <w:t xml:space="preserve"> there is </w:t>
      </w:r>
      <w:r w:rsidR="00D32A9B" w:rsidRPr="009678AA">
        <w:rPr>
          <w:color w:val="000000"/>
          <w:szCs w:val="24"/>
        </w:rPr>
        <w:t>someone</w:t>
      </w:r>
      <w:r w:rsidR="00D32A9B" w:rsidRPr="00BF2A6C">
        <w:rPr>
          <w:color w:val="000000"/>
          <w:szCs w:val="24"/>
        </w:rPr>
        <w:t xml:space="preserve"> available to support and represent </w:t>
      </w:r>
      <w:r w:rsidR="00D32A9B">
        <w:rPr>
          <w:color w:val="000000"/>
          <w:szCs w:val="24"/>
        </w:rPr>
        <w:t>them</w:t>
      </w:r>
      <w:r>
        <w:t>, as well as those who lack capacity</w:t>
      </w:r>
    </w:p>
    <w:p w:rsidR="00624350" w:rsidRDefault="00624350" w:rsidP="00624350">
      <w:pPr>
        <w:pStyle w:val="Bullet10"/>
      </w:pPr>
      <w:r>
        <w:lastRenderedPageBreak/>
        <w:t>people in relation to their assessment and/or care and support planning regardless of whether a change of accommodation is being considered</w:t>
      </w:r>
    </w:p>
    <w:p w:rsidR="00624350" w:rsidRDefault="00624350" w:rsidP="00624350">
      <w:pPr>
        <w:pStyle w:val="Bullet10"/>
      </w:pPr>
      <w:r>
        <w:t>people in relation to the review of a care and/or support plan (as a duty not a power)</w:t>
      </w:r>
    </w:p>
    <w:p w:rsidR="00624350" w:rsidRDefault="00624350" w:rsidP="00624350">
      <w:pPr>
        <w:pStyle w:val="Bullet10"/>
      </w:pPr>
      <w:r>
        <w:t>people in relation to safeguarding processes (though IMCAs may be involved if the authority has exercised its discretionary power under the MCA)</w:t>
      </w:r>
    </w:p>
    <w:p w:rsidR="00624350" w:rsidRDefault="00624350" w:rsidP="00624350">
      <w:pPr>
        <w:pStyle w:val="Bullet10"/>
      </w:pPr>
      <w:r>
        <w:t xml:space="preserve">carers who themselves </w:t>
      </w:r>
      <w:r w:rsidR="00D32A9B">
        <w:t xml:space="preserve">would </w:t>
      </w:r>
      <w:r w:rsidR="00711F77">
        <w:t xml:space="preserve">experience </w:t>
      </w:r>
      <w:r w:rsidR="00D32A9B">
        <w:t xml:space="preserve">barriers </w:t>
      </w:r>
      <w:r w:rsidR="00711F77">
        <w:t>in</w:t>
      </w:r>
      <w:r w:rsidR="00D32A9B">
        <w:t xml:space="preserve"> participatin</w:t>
      </w:r>
      <w:r w:rsidR="00711F77">
        <w:t>g fully</w:t>
      </w:r>
      <w:r>
        <w:t xml:space="preserve"> whether or not they have capacity</w:t>
      </w:r>
    </w:p>
    <w:p w:rsidR="00624350" w:rsidRPr="003563E9" w:rsidRDefault="00624350" w:rsidP="00624350">
      <w:pPr>
        <w:pStyle w:val="Bullet10"/>
      </w:pPr>
      <w:r>
        <w:t>people for whom there is someone who is appropriate to consult for the purpose of best interests decisions under the MCA, but who is not able and/or willing to facilitate the person’s participation in the local authority’s care and support processes</w:t>
      </w:r>
    </w:p>
    <w:p w:rsidR="00624350" w:rsidRDefault="00624350" w:rsidP="00624350"/>
    <w:p w:rsidR="00624350" w:rsidRDefault="00624350" w:rsidP="00624350">
      <w:r w:rsidRPr="003563E9">
        <w:t xml:space="preserve">The role of an independent </w:t>
      </w:r>
      <w:r w:rsidR="00711F77">
        <w:t xml:space="preserve">professional </w:t>
      </w:r>
      <w:r w:rsidRPr="003563E9">
        <w:t xml:space="preserve">advocate under the </w:t>
      </w:r>
      <w:r>
        <w:t>2014</w:t>
      </w:r>
      <w:r w:rsidRPr="003563E9">
        <w:t xml:space="preserve"> Act </w:t>
      </w:r>
      <w:r w:rsidR="00D958F5">
        <w:t>is</w:t>
      </w:r>
      <w:r w:rsidRPr="003563E9">
        <w:t xml:space="preserve"> less about informing best </w:t>
      </w:r>
      <w:proofErr w:type="gramStart"/>
      <w:r w:rsidRPr="003563E9">
        <w:t>interests</w:t>
      </w:r>
      <w:proofErr w:type="gramEnd"/>
      <w:r w:rsidRPr="003563E9">
        <w:t xml:space="preserve"> decisions and more about actively supporting the person to make the decision for themselves and p</w:t>
      </w:r>
      <w:r>
        <w:t>articipate</w:t>
      </w:r>
      <w:r w:rsidR="00390B73">
        <w:t xml:space="preserve"> </w:t>
      </w:r>
      <w:r w:rsidR="00711F77">
        <w:t xml:space="preserve">fully </w:t>
      </w:r>
      <w:r w:rsidR="00390B73">
        <w:t>in care and support processes</w:t>
      </w:r>
      <w:r>
        <w:t>, and then r</w:t>
      </w:r>
      <w:r w:rsidR="00255D2A">
        <w:t>epresenting their interests if</w:t>
      </w:r>
      <w:r>
        <w:t xml:space="preserve"> this is required. </w:t>
      </w:r>
      <w:r w:rsidRPr="003563E9">
        <w:t xml:space="preserve">The </w:t>
      </w:r>
      <w:r w:rsidR="00FB0311">
        <w:t>code of practice is</w:t>
      </w:r>
      <w:r w:rsidRPr="003563E9">
        <w:t xml:space="preserve"> framed in terms of helping a person to underst</w:t>
      </w:r>
      <w:r>
        <w:t xml:space="preserve">and and exercise their rights, and also challenging decisions where necessary. </w:t>
      </w:r>
    </w:p>
    <w:p w:rsidR="00624350" w:rsidRPr="003563E9" w:rsidRDefault="00624350" w:rsidP="00624350"/>
    <w:p w:rsidR="00624350" w:rsidRDefault="00624350" w:rsidP="00624350">
      <w:r w:rsidRPr="003563E9">
        <w:t xml:space="preserve">There are likely to be people who qualify for </w:t>
      </w:r>
      <w:r>
        <w:t xml:space="preserve">independent </w:t>
      </w:r>
      <w:r w:rsidRPr="003563E9">
        <w:t>advocacy</w:t>
      </w:r>
      <w:r>
        <w:t xml:space="preserve"> under the </w:t>
      </w:r>
      <w:r w:rsidR="00D958F5">
        <w:t>2014</w:t>
      </w:r>
      <w:r>
        <w:t xml:space="preserve"> Act</w:t>
      </w:r>
      <w:r w:rsidR="00D958F5">
        <w:t>,</w:t>
      </w:r>
      <w:r w:rsidRPr="003563E9">
        <w:t xml:space="preserve"> but not a</w:t>
      </w:r>
      <w:r>
        <w:t>n</w:t>
      </w:r>
      <w:r w:rsidRPr="003563E9">
        <w:t xml:space="preserve"> Independent Mental Capacity Advocate (IMCA). However, </w:t>
      </w:r>
      <w:r>
        <w:t>most</w:t>
      </w:r>
      <w:r w:rsidRPr="003563E9">
        <w:t xml:space="preserve"> of the people who qualify for </w:t>
      </w:r>
      <w:r>
        <w:t xml:space="preserve">independent </w:t>
      </w:r>
      <w:r w:rsidRPr="003563E9">
        <w:t>advocacy under the Mental Capacity Act 2005</w:t>
      </w:r>
      <w:r>
        <w:t xml:space="preserve">, in relation to care planning and care review, </w:t>
      </w:r>
      <w:r w:rsidRPr="003563E9">
        <w:t xml:space="preserve">will also qualify for </w:t>
      </w:r>
      <w:r>
        <w:t xml:space="preserve">independent </w:t>
      </w:r>
      <w:r w:rsidRPr="003563E9">
        <w:t xml:space="preserve">advocacy </w:t>
      </w:r>
      <w:r>
        <w:t>u</w:t>
      </w:r>
      <w:r w:rsidRPr="003563E9">
        <w:t xml:space="preserve">nder the </w:t>
      </w:r>
      <w:r w:rsidR="00D958F5">
        <w:t>2014</w:t>
      </w:r>
      <w:r w:rsidRPr="003563E9">
        <w:t xml:space="preserve"> Act. </w:t>
      </w:r>
      <w:r w:rsidR="00D958F5">
        <w:t>Both the 2014</w:t>
      </w:r>
      <w:r w:rsidRPr="00FA7A72">
        <w:t xml:space="preserve"> Act and the MCA recognise the same areas of difficulty</w:t>
      </w:r>
      <w:r w:rsidR="00540719">
        <w:t>. T</w:t>
      </w:r>
      <w:r w:rsidRPr="00FA7A72">
        <w:t xml:space="preserve">he test </w:t>
      </w:r>
      <w:r w:rsidR="00540719">
        <w:t>under</w:t>
      </w:r>
      <w:r w:rsidRPr="00FA7A72">
        <w:t xml:space="preserve"> the MCA is whether the person ‘lacks capacity’ t</w:t>
      </w:r>
      <w:r w:rsidR="00D958F5">
        <w:t>o make specific decisions where</w:t>
      </w:r>
      <w:r w:rsidRPr="00FA7A72">
        <w:t xml:space="preserve">as </w:t>
      </w:r>
      <w:r w:rsidR="00C37528">
        <w:t xml:space="preserve">in </w:t>
      </w:r>
      <w:r w:rsidRPr="00FA7A72">
        <w:t xml:space="preserve">the </w:t>
      </w:r>
      <w:r w:rsidR="00D958F5">
        <w:t>new</w:t>
      </w:r>
      <w:r w:rsidRPr="00FA7A72">
        <w:t xml:space="preserve"> Act </w:t>
      </w:r>
      <w:r w:rsidR="00C37528">
        <w:t xml:space="preserve">the test </w:t>
      </w:r>
      <w:r w:rsidR="00C37528" w:rsidRPr="00FA7A72">
        <w:t>is whether the person</w:t>
      </w:r>
      <w:r w:rsidR="00C37528">
        <w:t xml:space="preserve"> </w:t>
      </w:r>
      <w:r w:rsidR="00711F77">
        <w:t>experiences</w:t>
      </w:r>
      <w:r w:rsidR="00711F77" w:rsidRPr="00FA7A72">
        <w:t xml:space="preserve"> </w:t>
      </w:r>
      <w:r w:rsidR="00D32A9B">
        <w:t xml:space="preserve">barriers </w:t>
      </w:r>
      <w:r w:rsidR="00711F77">
        <w:t>in</w:t>
      </w:r>
      <w:r w:rsidR="00D32A9B">
        <w:t xml:space="preserve"> </w:t>
      </w:r>
      <w:r w:rsidR="00711F77">
        <w:t xml:space="preserve">fully </w:t>
      </w:r>
      <w:r w:rsidR="00D32A9B">
        <w:t>participatin</w:t>
      </w:r>
      <w:r w:rsidR="00711F77">
        <w:t>g</w:t>
      </w:r>
      <w:r w:rsidR="00C37528">
        <w:t xml:space="preserve"> that can only be overcome if </w:t>
      </w:r>
      <w:r w:rsidR="00C37528" w:rsidRPr="00BF2A6C">
        <w:rPr>
          <w:color w:val="000000"/>
          <w:szCs w:val="24"/>
        </w:rPr>
        <w:t xml:space="preserve">there is </w:t>
      </w:r>
      <w:r w:rsidR="00C37528" w:rsidRPr="009678AA">
        <w:rPr>
          <w:color w:val="000000"/>
          <w:szCs w:val="24"/>
        </w:rPr>
        <w:t>someone</w:t>
      </w:r>
      <w:r w:rsidR="00C37528" w:rsidRPr="00BF2A6C">
        <w:rPr>
          <w:color w:val="000000"/>
          <w:szCs w:val="24"/>
        </w:rPr>
        <w:t xml:space="preserve"> available to support and represent </w:t>
      </w:r>
      <w:r w:rsidR="00C37528">
        <w:rPr>
          <w:color w:val="000000"/>
          <w:szCs w:val="24"/>
        </w:rPr>
        <w:t>them</w:t>
      </w:r>
      <w:r w:rsidR="00540719">
        <w:rPr>
          <w:color w:val="000000"/>
          <w:szCs w:val="24"/>
        </w:rPr>
        <w:t xml:space="preserve"> (and they </w:t>
      </w:r>
      <w:r w:rsidR="00540719" w:rsidRPr="004426D3">
        <w:t>have no</w:t>
      </w:r>
      <w:r w:rsidR="00540719">
        <w:t xml:space="preserve"> ‘appropriate individual’</w:t>
      </w:r>
      <w:r w:rsidR="00540719" w:rsidRPr="004426D3">
        <w:t xml:space="preserve"> who is willing and able to represent them</w:t>
      </w:r>
      <w:r w:rsidR="00540719">
        <w:t>)</w:t>
      </w:r>
      <w:r>
        <w:t>.</w:t>
      </w:r>
    </w:p>
    <w:p w:rsidR="00D958F5" w:rsidRDefault="00D958F5" w:rsidP="00624350"/>
    <w:p w:rsidR="00624350" w:rsidRPr="003563E9" w:rsidRDefault="00624350" w:rsidP="00624350">
      <w:r w:rsidRPr="003563E9">
        <w:t>T</w:t>
      </w:r>
      <w:r w:rsidRPr="003563E9">
        <w:rPr>
          <w:lang w:val="en-US"/>
        </w:rPr>
        <w:t>o enable the person to receive seamless advocacy and not to have to repeat their story to different advocates</w:t>
      </w:r>
      <w:r>
        <w:rPr>
          <w:lang w:val="en-US"/>
        </w:rPr>
        <w:t>,</w:t>
      </w:r>
      <w:r w:rsidRPr="003563E9">
        <w:rPr>
          <w:lang w:val="en-US"/>
        </w:rPr>
        <w:t xml:space="preserve"> t</w:t>
      </w:r>
      <w:r w:rsidRPr="003563E9">
        <w:t xml:space="preserve">he same person could provide support as an </w:t>
      </w:r>
      <w:r>
        <w:t xml:space="preserve">independent </w:t>
      </w:r>
      <w:r w:rsidR="00711F77">
        <w:t xml:space="preserve">professional </w:t>
      </w:r>
      <w:r w:rsidRPr="003563E9">
        <w:t>advocate in both roles</w:t>
      </w:r>
      <w:r>
        <w:t>, if trained, qualified and with the appropriate skills to do both</w:t>
      </w:r>
      <w:r w:rsidRPr="003563E9">
        <w:t>.</w:t>
      </w:r>
      <w:r>
        <w:t xml:space="preserve"> However, under whichever legislation the advocate providing support is acting, they should meet the appropriate requirements for an independent </w:t>
      </w:r>
      <w:r w:rsidR="00711F77">
        <w:t xml:space="preserve">professional </w:t>
      </w:r>
      <w:r>
        <w:t>advocate under that legislation.</w:t>
      </w:r>
    </w:p>
    <w:p w:rsidR="00D958F5" w:rsidRDefault="00D958F5" w:rsidP="00624350"/>
    <w:p w:rsidR="00624350" w:rsidRPr="003563E9" w:rsidRDefault="00624350" w:rsidP="00624350">
      <w:r w:rsidRPr="003563E9">
        <w:t xml:space="preserve">The local authority must meet its duties in relation to working with an IMCA provided under the </w:t>
      </w:r>
      <w:r>
        <w:t>MCA</w:t>
      </w:r>
      <w:r w:rsidRPr="003563E9">
        <w:t xml:space="preserve"> as well as those in relation to an </w:t>
      </w:r>
      <w:r>
        <w:t xml:space="preserve">independent </w:t>
      </w:r>
      <w:r w:rsidR="00711F77">
        <w:t xml:space="preserve">professional </w:t>
      </w:r>
      <w:r w:rsidRPr="003563E9">
        <w:t xml:space="preserve">advocate under the </w:t>
      </w:r>
      <w:r w:rsidR="00D958F5">
        <w:t xml:space="preserve">Social Services and Well-being (Wales) Act 2014 </w:t>
      </w:r>
      <w:r w:rsidRPr="003563E9">
        <w:t xml:space="preserve">when the advocate is acting in both roles. </w:t>
      </w:r>
    </w:p>
    <w:p w:rsidR="00624350" w:rsidRDefault="00624350" w:rsidP="00A60B65"/>
    <w:p w:rsidR="00440D5D" w:rsidRDefault="00440D5D" w:rsidP="00A60B65"/>
    <w:sectPr w:rsidR="00440D5D"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E3" w:rsidRDefault="009768E3" w:rsidP="00A60B65">
      <w:r>
        <w:separator/>
      </w:r>
    </w:p>
  </w:endnote>
  <w:endnote w:type="continuationSeparator" w:id="0">
    <w:p w:rsidR="009768E3" w:rsidRDefault="009768E3"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45494">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45494">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E3" w:rsidRDefault="009768E3" w:rsidP="00A60B65">
      <w:r>
        <w:separator/>
      </w:r>
    </w:p>
  </w:footnote>
  <w:footnote w:type="continuationSeparator" w:id="0">
    <w:p w:rsidR="009768E3" w:rsidRDefault="009768E3"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AAF4E46" wp14:editId="025A8BA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EE2540"/>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6">
    <w:nsid w:val="49DE16AD"/>
    <w:multiLevelType w:val="hybridMultilevel"/>
    <w:tmpl w:val="308CEFBE"/>
    <w:lvl w:ilvl="0" w:tplc="08090005">
      <w:start w:val="1"/>
      <w:numFmt w:val="bullet"/>
      <w:lvlText w:val=""/>
      <w:lvlJc w:val="left"/>
      <w:pPr>
        <w:tabs>
          <w:tab w:val="num" w:pos="360"/>
        </w:tabs>
        <w:ind w:left="360" w:hanging="360"/>
      </w:pPr>
      <w:rPr>
        <w:rFonts w:ascii="Wingdings" w:hAnsi="Wingdings" w:hint="default"/>
      </w:rPr>
    </w:lvl>
    <w:lvl w:ilvl="1" w:tplc="30EE8E22">
      <w:start w:val="3288"/>
      <w:numFmt w:val="bullet"/>
      <w:lvlText w:val=""/>
      <w:lvlJc w:val="left"/>
      <w:pPr>
        <w:tabs>
          <w:tab w:val="num" w:pos="1080"/>
        </w:tabs>
        <w:ind w:left="1080" w:hanging="360"/>
      </w:pPr>
      <w:rPr>
        <w:rFonts w:ascii="Wingdings" w:hAnsi="Wingdings" w:hint="default"/>
      </w:rPr>
    </w:lvl>
    <w:lvl w:ilvl="2" w:tplc="3502FBF2" w:tentative="1">
      <w:start w:val="1"/>
      <w:numFmt w:val="bullet"/>
      <w:lvlText w:val="•"/>
      <w:lvlJc w:val="left"/>
      <w:pPr>
        <w:tabs>
          <w:tab w:val="num" w:pos="1800"/>
        </w:tabs>
        <w:ind w:left="1800" w:hanging="360"/>
      </w:pPr>
      <w:rPr>
        <w:rFonts w:ascii="Arial" w:hAnsi="Arial" w:hint="default"/>
      </w:rPr>
    </w:lvl>
    <w:lvl w:ilvl="3" w:tplc="2E5285A6" w:tentative="1">
      <w:start w:val="1"/>
      <w:numFmt w:val="bullet"/>
      <w:lvlText w:val="•"/>
      <w:lvlJc w:val="left"/>
      <w:pPr>
        <w:tabs>
          <w:tab w:val="num" w:pos="2520"/>
        </w:tabs>
        <w:ind w:left="2520" w:hanging="360"/>
      </w:pPr>
      <w:rPr>
        <w:rFonts w:ascii="Arial" w:hAnsi="Arial" w:hint="default"/>
      </w:rPr>
    </w:lvl>
    <w:lvl w:ilvl="4" w:tplc="B6D80A00" w:tentative="1">
      <w:start w:val="1"/>
      <w:numFmt w:val="bullet"/>
      <w:lvlText w:val="•"/>
      <w:lvlJc w:val="left"/>
      <w:pPr>
        <w:tabs>
          <w:tab w:val="num" w:pos="3240"/>
        </w:tabs>
        <w:ind w:left="3240" w:hanging="360"/>
      </w:pPr>
      <w:rPr>
        <w:rFonts w:ascii="Arial" w:hAnsi="Arial" w:hint="default"/>
      </w:rPr>
    </w:lvl>
    <w:lvl w:ilvl="5" w:tplc="F300D4DE" w:tentative="1">
      <w:start w:val="1"/>
      <w:numFmt w:val="bullet"/>
      <w:lvlText w:val="•"/>
      <w:lvlJc w:val="left"/>
      <w:pPr>
        <w:tabs>
          <w:tab w:val="num" w:pos="3960"/>
        </w:tabs>
        <w:ind w:left="3960" w:hanging="360"/>
      </w:pPr>
      <w:rPr>
        <w:rFonts w:ascii="Arial" w:hAnsi="Arial" w:hint="default"/>
      </w:rPr>
    </w:lvl>
    <w:lvl w:ilvl="6" w:tplc="EB08559C" w:tentative="1">
      <w:start w:val="1"/>
      <w:numFmt w:val="bullet"/>
      <w:lvlText w:val="•"/>
      <w:lvlJc w:val="left"/>
      <w:pPr>
        <w:tabs>
          <w:tab w:val="num" w:pos="4680"/>
        </w:tabs>
        <w:ind w:left="4680" w:hanging="360"/>
      </w:pPr>
      <w:rPr>
        <w:rFonts w:ascii="Arial" w:hAnsi="Arial" w:hint="default"/>
      </w:rPr>
    </w:lvl>
    <w:lvl w:ilvl="7" w:tplc="CEA2CF2C" w:tentative="1">
      <w:start w:val="1"/>
      <w:numFmt w:val="bullet"/>
      <w:lvlText w:val="•"/>
      <w:lvlJc w:val="left"/>
      <w:pPr>
        <w:tabs>
          <w:tab w:val="num" w:pos="5400"/>
        </w:tabs>
        <w:ind w:left="5400" w:hanging="360"/>
      </w:pPr>
      <w:rPr>
        <w:rFonts w:ascii="Arial" w:hAnsi="Arial" w:hint="default"/>
      </w:rPr>
    </w:lvl>
    <w:lvl w:ilvl="8" w:tplc="83B09E24" w:tentative="1">
      <w:start w:val="1"/>
      <w:numFmt w:val="bullet"/>
      <w:lvlText w:val="•"/>
      <w:lvlJc w:val="left"/>
      <w:pPr>
        <w:tabs>
          <w:tab w:val="num" w:pos="6120"/>
        </w:tabs>
        <w:ind w:left="6120" w:hanging="360"/>
      </w:pPr>
      <w:rPr>
        <w:rFonts w:ascii="Arial" w:hAnsi="Arial" w:hint="default"/>
      </w:rPr>
    </w:lvl>
  </w:abstractNum>
  <w:abstractNum w:abstractNumId="17">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8">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B941B8"/>
    <w:multiLevelType w:val="hybridMultilevel"/>
    <w:tmpl w:val="D5EA2DD6"/>
    <w:lvl w:ilvl="0" w:tplc="D18ECCF0">
      <w:start w:val="1"/>
      <w:numFmt w:val="decimal"/>
      <w:lvlText w:val="%1."/>
      <w:lvlJc w:val="left"/>
      <w:pPr>
        <w:tabs>
          <w:tab w:val="num" w:pos="720"/>
        </w:tabs>
        <w:ind w:left="720" w:hanging="360"/>
      </w:pPr>
    </w:lvl>
    <w:lvl w:ilvl="1" w:tplc="AEB032D0">
      <w:start w:val="661"/>
      <w:numFmt w:val="bullet"/>
      <w:lvlText w:val="•"/>
      <w:lvlJc w:val="left"/>
      <w:pPr>
        <w:tabs>
          <w:tab w:val="num" w:pos="1440"/>
        </w:tabs>
        <w:ind w:left="1440" w:hanging="360"/>
      </w:pPr>
      <w:rPr>
        <w:rFonts w:ascii="Arial" w:hAnsi="Arial" w:hint="default"/>
      </w:rPr>
    </w:lvl>
    <w:lvl w:ilvl="2" w:tplc="CD748756" w:tentative="1">
      <w:start w:val="1"/>
      <w:numFmt w:val="decimal"/>
      <w:lvlText w:val="%3."/>
      <w:lvlJc w:val="left"/>
      <w:pPr>
        <w:tabs>
          <w:tab w:val="num" w:pos="2160"/>
        </w:tabs>
        <w:ind w:left="2160" w:hanging="360"/>
      </w:pPr>
    </w:lvl>
    <w:lvl w:ilvl="3" w:tplc="8BE2CDC4" w:tentative="1">
      <w:start w:val="1"/>
      <w:numFmt w:val="decimal"/>
      <w:lvlText w:val="%4."/>
      <w:lvlJc w:val="left"/>
      <w:pPr>
        <w:tabs>
          <w:tab w:val="num" w:pos="2880"/>
        </w:tabs>
        <w:ind w:left="2880" w:hanging="360"/>
      </w:pPr>
    </w:lvl>
    <w:lvl w:ilvl="4" w:tplc="7BF6327C" w:tentative="1">
      <w:start w:val="1"/>
      <w:numFmt w:val="decimal"/>
      <w:lvlText w:val="%5."/>
      <w:lvlJc w:val="left"/>
      <w:pPr>
        <w:tabs>
          <w:tab w:val="num" w:pos="3600"/>
        </w:tabs>
        <w:ind w:left="3600" w:hanging="360"/>
      </w:pPr>
    </w:lvl>
    <w:lvl w:ilvl="5" w:tplc="1D407DD8" w:tentative="1">
      <w:start w:val="1"/>
      <w:numFmt w:val="decimal"/>
      <w:lvlText w:val="%6."/>
      <w:lvlJc w:val="left"/>
      <w:pPr>
        <w:tabs>
          <w:tab w:val="num" w:pos="4320"/>
        </w:tabs>
        <w:ind w:left="4320" w:hanging="360"/>
      </w:pPr>
    </w:lvl>
    <w:lvl w:ilvl="6" w:tplc="6C1278B2" w:tentative="1">
      <w:start w:val="1"/>
      <w:numFmt w:val="decimal"/>
      <w:lvlText w:val="%7."/>
      <w:lvlJc w:val="left"/>
      <w:pPr>
        <w:tabs>
          <w:tab w:val="num" w:pos="5040"/>
        </w:tabs>
        <w:ind w:left="5040" w:hanging="360"/>
      </w:pPr>
    </w:lvl>
    <w:lvl w:ilvl="7" w:tplc="DA36D4A6" w:tentative="1">
      <w:start w:val="1"/>
      <w:numFmt w:val="decimal"/>
      <w:lvlText w:val="%8."/>
      <w:lvlJc w:val="left"/>
      <w:pPr>
        <w:tabs>
          <w:tab w:val="num" w:pos="5760"/>
        </w:tabs>
        <w:ind w:left="5760" w:hanging="360"/>
      </w:pPr>
    </w:lvl>
    <w:lvl w:ilvl="8" w:tplc="64A0D2B6" w:tentative="1">
      <w:start w:val="1"/>
      <w:numFmt w:val="decimal"/>
      <w:lvlText w:val="%9."/>
      <w:lvlJc w:val="left"/>
      <w:pPr>
        <w:tabs>
          <w:tab w:val="num" w:pos="6480"/>
        </w:tabs>
        <w:ind w:left="6480" w:hanging="360"/>
      </w:pPr>
    </w:lvl>
  </w:abstractNum>
  <w:abstractNum w:abstractNumId="27">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9">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0">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6"/>
  </w:num>
  <w:num w:numId="3">
    <w:abstractNumId w:val="22"/>
  </w:num>
  <w:num w:numId="4">
    <w:abstractNumId w:val="2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3"/>
  </w:num>
  <w:num w:numId="6">
    <w:abstractNumId w:val="8"/>
  </w:num>
  <w:num w:numId="7">
    <w:abstractNumId w:val="33"/>
    <w:lvlOverride w:ilvl="0">
      <w:startOverride w:val="1"/>
    </w:lvlOverride>
  </w:num>
  <w:num w:numId="8">
    <w:abstractNumId w:val="23"/>
  </w:num>
  <w:num w:numId="9">
    <w:abstractNumId w:val="33"/>
  </w:num>
  <w:num w:numId="10">
    <w:abstractNumId w:val="19"/>
  </w:num>
  <w:num w:numId="11">
    <w:abstractNumId w:val="1"/>
  </w:num>
  <w:num w:numId="12">
    <w:abstractNumId w:val="25"/>
  </w:num>
  <w:num w:numId="13">
    <w:abstractNumId w:val="29"/>
  </w:num>
  <w:num w:numId="14">
    <w:abstractNumId w:val="17"/>
  </w:num>
  <w:num w:numId="15">
    <w:abstractNumId w:val="15"/>
  </w:num>
  <w:num w:numId="16">
    <w:abstractNumId w:val="28"/>
  </w:num>
  <w:num w:numId="17">
    <w:abstractNumId w:val="2"/>
  </w:num>
  <w:num w:numId="18">
    <w:abstractNumId w:val="9"/>
  </w:num>
  <w:num w:numId="19">
    <w:abstractNumId w:val="18"/>
  </w:num>
  <w:num w:numId="20">
    <w:abstractNumId w:val="4"/>
  </w:num>
  <w:num w:numId="21">
    <w:abstractNumId w:val="30"/>
  </w:num>
  <w:num w:numId="22">
    <w:abstractNumId w:val="14"/>
  </w:num>
  <w:num w:numId="23">
    <w:abstractNumId w:val="24"/>
  </w:num>
  <w:num w:numId="24">
    <w:abstractNumId w:val="31"/>
  </w:num>
  <w:num w:numId="25">
    <w:abstractNumId w:val="4"/>
    <w:lvlOverride w:ilvl="0">
      <w:startOverride w:val="1"/>
    </w:lvlOverride>
  </w:num>
  <w:num w:numId="26">
    <w:abstractNumId w:val="27"/>
  </w:num>
  <w:num w:numId="27">
    <w:abstractNumId w:val="32"/>
  </w:num>
  <w:num w:numId="28">
    <w:abstractNumId w:val="21"/>
  </w:num>
  <w:num w:numId="29">
    <w:abstractNumId w:val="7"/>
  </w:num>
  <w:num w:numId="30">
    <w:abstractNumId w:val="11"/>
  </w:num>
  <w:num w:numId="31">
    <w:abstractNumId w:val="10"/>
  </w:num>
  <w:num w:numId="32">
    <w:abstractNumId w:val="0"/>
  </w:num>
  <w:num w:numId="33">
    <w:abstractNumId w:val="20"/>
  </w:num>
  <w:num w:numId="34">
    <w:abstractNumId w:val="5"/>
  </w:num>
  <w:num w:numId="35">
    <w:abstractNumId w:val="12"/>
  </w:num>
  <w:num w:numId="36">
    <w:abstractNumId w:val="2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79C6"/>
    <w:rsid w:val="00090064"/>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4412"/>
    <w:rsid w:val="00187803"/>
    <w:rsid w:val="001D57E5"/>
    <w:rsid w:val="00213728"/>
    <w:rsid w:val="00225372"/>
    <w:rsid w:val="00226AF3"/>
    <w:rsid w:val="00255D2A"/>
    <w:rsid w:val="0026224C"/>
    <w:rsid w:val="00273E57"/>
    <w:rsid w:val="002867EA"/>
    <w:rsid w:val="0029188E"/>
    <w:rsid w:val="002B1F32"/>
    <w:rsid w:val="002D6D1A"/>
    <w:rsid w:val="002D6DF1"/>
    <w:rsid w:val="00305DD8"/>
    <w:rsid w:val="0031794B"/>
    <w:rsid w:val="003525D3"/>
    <w:rsid w:val="00383BC9"/>
    <w:rsid w:val="00390B73"/>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523FA3"/>
    <w:rsid w:val="00540719"/>
    <w:rsid w:val="00582A3D"/>
    <w:rsid w:val="005D358F"/>
    <w:rsid w:val="00624350"/>
    <w:rsid w:val="00653824"/>
    <w:rsid w:val="00694756"/>
    <w:rsid w:val="006B55EC"/>
    <w:rsid w:val="006E4991"/>
    <w:rsid w:val="00711F77"/>
    <w:rsid w:val="0076052D"/>
    <w:rsid w:val="007A0A66"/>
    <w:rsid w:val="007A2579"/>
    <w:rsid w:val="00803080"/>
    <w:rsid w:val="00810563"/>
    <w:rsid w:val="00842CC1"/>
    <w:rsid w:val="00876BD4"/>
    <w:rsid w:val="008D505C"/>
    <w:rsid w:val="008D6D0E"/>
    <w:rsid w:val="008E7123"/>
    <w:rsid w:val="0090739C"/>
    <w:rsid w:val="009143F1"/>
    <w:rsid w:val="00956064"/>
    <w:rsid w:val="0095660B"/>
    <w:rsid w:val="0096416B"/>
    <w:rsid w:val="009768E3"/>
    <w:rsid w:val="009A013C"/>
    <w:rsid w:val="00A11033"/>
    <w:rsid w:val="00A2075A"/>
    <w:rsid w:val="00A516DF"/>
    <w:rsid w:val="00A60B65"/>
    <w:rsid w:val="00AF4D6F"/>
    <w:rsid w:val="00AF58A5"/>
    <w:rsid w:val="00B42501"/>
    <w:rsid w:val="00B70B7B"/>
    <w:rsid w:val="00BC5279"/>
    <w:rsid w:val="00BC5D28"/>
    <w:rsid w:val="00BC68AD"/>
    <w:rsid w:val="00BD47C9"/>
    <w:rsid w:val="00BF3F9A"/>
    <w:rsid w:val="00C06D15"/>
    <w:rsid w:val="00C33CB5"/>
    <w:rsid w:val="00C37528"/>
    <w:rsid w:val="00C45494"/>
    <w:rsid w:val="00C65408"/>
    <w:rsid w:val="00CC56C9"/>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2FAE-EE62-435A-A727-1AC0C99B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5</cp:revision>
  <dcterms:created xsi:type="dcterms:W3CDTF">2015-10-23T08:17:00Z</dcterms:created>
  <dcterms:modified xsi:type="dcterms:W3CDTF">2015-12-17T13:58:00Z</dcterms:modified>
</cp:coreProperties>
</file>