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WELL-BEING (WALES) ACT</w:t>
      </w:r>
    </w:p>
    <w:p w:rsidR="00A60B65" w:rsidRPr="0096416B" w:rsidRDefault="000A19E3" w:rsidP="0005205D">
      <w:pPr>
        <w:spacing w:before="60" w:after="60"/>
        <w:rPr>
          <w:b/>
          <w:sz w:val="36"/>
        </w:rPr>
      </w:pPr>
      <w:r>
        <w:rPr>
          <w:b/>
          <w:sz w:val="36"/>
        </w:rPr>
        <w:t>HANDOUT</w:t>
      </w:r>
    </w:p>
    <w:p w:rsidR="00653824" w:rsidRDefault="00653824" w:rsidP="00A60B65"/>
    <w:p w:rsidR="00A60B65" w:rsidRPr="00FA0525" w:rsidRDefault="0063169B" w:rsidP="003525D3">
      <w:pPr>
        <w:pStyle w:val="Title"/>
        <w:pBdr>
          <w:bottom w:val="none" w:sz="0" w:space="0" w:color="auto"/>
        </w:pBdr>
        <w:jc w:val="center"/>
        <w:rPr>
          <w:rFonts w:ascii="Arial" w:hAnsi="Arial" w:cs="Arial"/>
          <w:b/>
          <w:color w:val="E81E87"/>
          <w:sz w:val="72"/>
        </w:rPr>
      </w:pPr>
      <w:r>
        <w:rPr>
          <w:rFonts w:ascii="Arial" w:hAnsi="Arial" w:cs="Arial"/>
          <w:b/>
          <w:color w:val="E81E87"/>
          <w:sz w:val="72"/>
        </w:rPr>
        <w:t>Advocacy</w:t>
      </w:r>
    </w:p>
    <w:p w:rsidR="00E354E3" w:rsidRDefault="005D358F" w:rsidP="008D6D0E">
      <w:pPr>
        <w:pStyle w:val="Heading1"/>
      </w:pPr>
      <w:r>
        <w:t>Introduction</w:t>
      </w:r>
    </w:p>
    <w:p w:rsidR="00227D60" w:rsidRDefault="00227D60" w:rsidP="00227D60">
      <w:r w:rsidRPr="00E96DF0">
        <w:t xml:space="preserve">The </w:t>
      </w:r>
      <w:r>
        <w:t>Social Services and Well-being (Wales)</w:t>
      </w:r>
      <w:r w:rsidRPr="00E96DF0">
        <w:t xml:space="preserve"> Act 2014 requires that local authorities </w:t>
      </w:r>
      <w:r w:rsidRPr="00202388">
        <w:t xml:space="preserve">support </w:t>
      </w:r>
      <w:r>
        <w:t xml:space="preserve">people – children and adults with care and support needs, and carers </w:t>
      </w:r>
      <w:r w:rsidR="00731DC2">
        <w:t>–</w:t>
      </w:r>
      <w:r>
        <w:t xml:space="preserve"> </w:t>
      </w:r>
      <w:r w:rsidRPr="00202388">
        <w:t xml:space="preserve">to </w:t>
      </w:r>
      <w:r>
        <w:t xml:space="preserve">fully </w:t>
      </w:r>
      <w:r w:rsidRPr="00202388">
        <w:t>participate</w:t>
      </w:r>
      <w:r w:rsidRPr="00227D60">
        <w:t xml:space="preserve"> </w:t>
      </w:r>
      <w:r w:rsidRPr="00202388">
        <w:t xml:space="preserve">in the key care and support processes of assessment, planning and review, and any safeguarding </w:t>
      </w:r>
      <w:r>
        <w:t>processes</w:t>
      </w:r>
      <w:r w:rsidRPr="00E96DF0">
        <w:t xml:space="preserve">. </w:t>
      </w:r>
    </w:p>
    <w:p w:rsidR="00227D60" w:rsidRPr="00E96DF0" w:rsidRDefault="00227D60" w:rsidP="00227D60">
      <w:pPr>
        <w:rPr>
          <w:b/>
        </w:rPr>
      </w:pPr>
    </w:p>
    <w:p w:rsidR="00227D60" w:rsidRDefault="00227D60" w:rsidP="00227D60">
      <w:r>
        <w:t>Some people may experience barriers to their full participation and, if so,</w:t>
      </w:r>
      <w:r w:rsidRPr="00E96DF0">
        <w:t xml:space="preserve"> the local authority must enable them to </w:t>
      </w:r>
      <w:r>
        <w:t>participate</w:t>
      </w:r>
      <w:r w:rsidRPr="00E96DF0">
        <w:t xml:space="preserve"> as fully as possible. </w:t>
      </w:r>
      <w:r>
        <w:t xml:space="preserve">Firstly, it is important to establish if and how the person could be better supported by making changes to the arrangements. For example, by </w:t>
      </w:r>
      <w:r w:rsidRPr="006F29C4">
        <w:t>providing information in an accessible format</w:t>
      </w:r>
      <w:r>
        <w:t xml:space="preserve"> and involving an appropriately trained and registered interpreter if the person needs one e.g. if they are a sign language user or don’t have enough English or Welsh to be involved without an interpreter</w:t>
      </w:r>
      <w:r w:rsidRPr="006F29C4">
        <w:t>.</w:t>
      </w:r>
      <w:r>
        <w:t xml:space="preserve"> Note that local authorities have a duty under the Equality Act 2010 to make reasonable adjustments to meet the needs of people with particular accessibility requirements. Such adjustments should be made before the barriers to the person fully participating in the process are reviewed again.</w:t>
      </w:r>
    </w:p>
    <w:p w:rsidR="00227D60" w:rsidRDefault="00227D60" w:rsidP="00227D60"/>
    <w:p w:rsidR="00227D60" w:rsidRDefault="00227D60" w:rsidP="00227D60">
      <w:pPr>
        <w:rPr>
          <w:color w:val="000000"/>
          <w:szCs w:val="24"/>
        </w:rPr>
      </w:pPr>
      <w:r>
        <w:t>However, some people won’t be able to fully participate, even if the</w:t>
      </w:r>
      <w:r w:rsidRPr="006F29C4">
        <w:t xml:space="preserve"> process </w:t>
      </w:r>
      <w:r>
        <w:t>has been adapted to meet</w:t>
      </w:r>
      <w:r w:rsidRPr="006F29C4">
        <w:t xml:space="preserve"> the</w:t>
      </w:r>
      <w:r>
        <w:t>ir</w:t>
      </w:r>
      <w:r w:rsidRPr="006F29C4">
        <w:t xml:space="preserve"> communications needs</w:t>
      </w:r>
      <w:r>
        <w:t>, because of the barriers they experience.</w:t>
      </w:r>
      <w:r w:rsidRPr="00227D60">
        <w:rPr>
          <w:szCs w:val="24"/>
        </w:rPr>
        <w:t xml:space="preserve"> </w:t>
      </w:r>
      <w:r w:rsidRPr="009678AA">
        <w:rPr>
          <w:szCs w:val="24"/>
        </w:rPr>
        <w:t xml:space="preserve">Local authorities </w:t>
      </w:r>
      <w:r w:rsidRPr="00BF2A6C">
        <w:rPr>
          <w:color w:val="000000"/>
          <w:szCs w:val="24"/>
        </w:rPr>
        <w:t>must</w:t>
      </w:r>
      <w:r w:rsidRPr="009678AA">
        <w:rPr>
          <w:color w:val="000000"/>
          <w:szCs w:val="24"/>
        </w:rPr>
        <w:t>,</w:t>
      </w:r>
      <w:r w:rsidRPr="00BF2A6C">
        <w:rPr>
          <w:color w:val="000000"/>
          <w:szCs w:val="24"/>
        </w:rPr>
        <w:t xml:space="preserve"> in partnership with the </w:t>
      </w:r>
      <w:r w:rsidRPr="009678AA">
        <w:rPr>
          <w:color w:val="000000"/>
          <w:szCs w:val="24"/>
        </w:rPr>
        <w:t>person,</w:t>
      </w:r>
      <w:r w:rsidRPr="00BF2A6C">
        <w:rPr>
          <w:color w:val="000000"/>
          <w:szCs w:val="24"/>
        </w:rPr>
        <w:t xml:space="preserve"> reach a judgement about whether</w:t>
      </w:r>
      <w:r w:rsidRPr="009678AA">
        <w:rPr>
          <w:szCs w:val="24"/>
        </w:rPr>
        <w:t xml:space="preserve"> </w:t>
      </w:r>
      <w:r w:rsidRPr="00BF2A6C">
        <w:rPr>
          <w:color w:val="000000"/>
          <w:szCs w:val="24"/>
        </w:rPr>
        <w:t>that individual can only overcome the barrier</w:t>
      </w:r>
      <w:r w:rsidRPr="009678AA">
        <w:rPr>
          <w:color w:val="000000"/>
          <w:szCs w:val="24"/>
        </w:rPr>
        <w:t>(</w:t>
      </w:r>
      <w:r w:rsidRPr="00BF2A6C">
        <w:rPr>
          <w:color w:val="000000"/>
          <w:szCs w:val="24"/>
        </w:rPr>
        <w:t xml:space="preserve">s) </w:t>
      </w:r>
      <w:r>
        <w:rPr>
          <w:color w:val="000000"/>
          <w:szCs w:val="24"/>
        </w:rPr>
        <w:t>and</w:t>
      </w:r>
      <w:r w:rsidRPr="00BF2A6C">
        <w:rPr>
          <w:color w:val="000000"/>
          <w:szCs w:val="24"/>
        </w:rPr>
        <w:t xml:space="preserve"> participate fully if there is </w:t>
      </w:r>
      <w:r w:rsidRPr="009678AA">
        <w:rPr>
          <w:color w:val="000000"/>
          <w:szCs w:val="24"/>
        </w:rPr>
        <w:t>someone</w:t>
      </w:r>
      <w:r w:rsidRPr="00BF2A6C">
        <w:rPr>
          <w:color w:val="000000"/>
          <w:szCs w:val="24"/>
        </w:rPr>
        <w:t xml:space="preserve"> available to support and represent </w:t>
      </w:r>
      <w:r w:rsidRPr="009678AA">
        <w:rPr>
          <w:color w:val="000000"/>
          <w:szCs w:val="24"/>
        </w:rPr>
        <w:t>their</w:t>
      </w:r>
      <w:r w:rsidRPr="00BF2A6C">
        <w:rPr>
          <w:color w:val="000000"/>
          <w:szCs w:val="24"/>
        </w:rPr>
        <w:t xml:space="preserve"> views, wishes and feelings</w:t>
      </w:r>
      <w:r w:rsidRPr="009678AA">
        <w:rPr>
          <w:color w:val="000000"/>
          <w:szCs w:val="24"/>
        </w:rPr>
        <w:t>.</w:t>
      </w:r>
    </w:p>
    <w:p w:rsidR="00227D60" w:rsidRDefault="00227D60" w:rsidP="00227D60">
      <w:pPr>
        <w:rPr>
          <w:color w:val="000000"/>
          <w:szCs w:val="24"/>
        </w:rPr>
      </w:pPr>
    </w:p>
    <w:p w:rsidR="00227D60" w:rsidRDefault="00227D60" w:rsidP="00227D60">
      <w:pPr>
        <w:rPr>
          <w:szCs w:val="24"/>
        </w:rPr>
      </w:pPr>
      <w:r>
        <w:rPr>
          <w:szCs w:val="24"/>
        </w:rPr>
        <w:t>A parent, carer, friend, neighbour or relative for instance may be an ‘</w:t>
      </w:r>
      <w:r w:rsidRPr="00A77102">
        <w:rPr>
          <w:b/>
        </w:rPr>
        <w:t>appropriate individual’</w:t>
      </w:r>
      <w:r w:rsidRPr="009678AA">
        <w:t xml:space="preserve"> to advocate for </w:t>
      </w:r>
      <w:r>
        <w:t>the</w:t>
      </w:r>
      <w:r w:rsidRPr="009678AA">
        <w:t xml:space="preserve"> person</w:t>
      </w:r>
      <w:r>
        <w:t>.</w:t>
      </w:r>
      <w:r w:rsidRPr="00227D60">
        <w:rPr>
          <w:szCs w:val="24"/>
        </w:rPr>
        <w:t xml:space="preserve"> </w:t>
      </w:r>
      <w:r>
        <w:rPr>
          <w:szCs w:val="24"/>
        </w:rPr>
        <w:t xml:space="preserve">An appropriate </w:t>
      </w:r>
      <w:r w:rsidR="00085119">
        <w:rPr>
          <w:szCs w:val="24"/>
        </w:rPr>
        <w:t>individual</w:t>
      </w:r>
      <w:r>
        <w:rPr>
          <w:szCs w:val="24"/>
        </w:rPr>
        <w:t xml:space="preserve"> must:</w:t>
      </w:r>
    </w:p>
    <w:p w:rsidR="00227D60" w:rsidRDefault="00227D60" w:rsidP="00227D60">
      <w:pPr>
        <w:rPr>
          <w:szCs w:val="24"/>
        </w:rPr>
      </w:pPr>
    </w:p>
    <w:p w:rsidR="00085119" w:rsidRDefault="00227D60" w:rsidP="00227D60">
      <w:pPr>
        <w:pStyle w:val="Bullet10"/>
      </w:pPr>
      <w:r>
        <w:t xml:space="preserve">be </w:t>
      </w:r>
      <w:r w:rsidRPr="0061726E">
        <w:t xml:space="preserve">able to adequately support the </w:t>
      </w:r>
      <w:r>
        <w:t>person’s</w:t>
      </w:r>
      <w:r w:rsidRPr="0061726E">
        <w:t xml:space="preserve"> participation</w:t>
      </w:r>
    </w:p>
    <w:p w:rsidR="00085119" w:rsidRDefault="00227D60" w:rsidP="00227D60">
      <w:pPr>
        <w:pStyle w:val="Bullet10"/>
      </w:pPr>
      <w:r>
        <w:t>be someone the person want</w:t>
      </w:r>
      <w:r w:rsidR="00085119">
        <w:t>s</w:t>
      </w:r>
      <w:r w:rsidR="00300305">
        <w:t xml:space="preserve"> to support them</w:t>
      </w:r>
    </w:p>
    <w:p w:rsidR="00227D60" w:rsidRDefault="00300305" w:rsidP="00227D60">
      <w:pPr>
        <w:pStyle w:val="Bullet10"/>
      </w:pPr>
      <w:r>
        <w:t>not be</w:t>
      </w:r>
      <w:r w:rsidR="00227D60">
        <w:t xml:space="preserve"> </w:t>
      </w:r>
      <w:r w:rsidR="00227D60" w:rsidRPr="0061726E">
        <w:t>someone implicated in a safeguarding enquiry</w:t>
      </w:r>
    </w:p>
    <w:p w:rsidR="00227D60" w:rsidRDefault="00227D60" w:rsidP="00227D60"/>
    <w:p w:rsidR="00227D60" w:rsidRDefault="00227D60" w:rsidP="00227D60">
      <w:pPr>
        <w:rPr>
          <w:lang w:val="en-US"/>
        </w:rPr>
      </w:pPr>
      <w:r w:rsidRPr="00E96DF0">
        <w:t xml:space="preserve">If there is no appropriate </w:t>
      </w:r>
      <w:r w:rsidR="00300305">
        <w:t xml:space="preserve">individual </w:t>
      </w:r>
      <w:r w:rsidRPr="00E96DF0">
        <w:t xml:space="preserve">available to facilitate the person's </w:t>
      </w:r>
      <w:r w:rsidR="00300305">
        <w:t>participation</w:t>
      </w:r>
      <w:r w:rsidRPr="00E96DF0">
        <w:t xml:space="preserve">, the local authority must arrange for an </w:t>
      </w:r>
      <w:r w:rsidRPr="009678AA">
        <w:rPr>
          <w:b/>
          <w:lang w:val="en-US"/>
        </w:rPr>
        <w:t xml:space="preserve">independent </w:t>
      </w:r>
      <w:r>
        <w:rPr>
          <w:b/>
          <w:lang w:val="en-US"/>
        </w:rPr>
        <w:t xml:space="preserve">professional </w:t>
      </w:r>
      <w:r w:rsidRPr="009678AA">
        <w:rPr>
          <w:b/>
          <w:lang w:val="en-US"/>
        </w:rPr>
        <w:t>advocate</w:t>
      </w:r>
      <w:r w:rsidRPr="009678AA">
        <w:rPr>
          <w:lang w:val="en-US"/>
        </w:rPr>
        <w:t xml:space="preserve"> to support and represent them.</w:t>
      </w:r>
    </w:p>
    <w:p w:rsidR="00227D60" w:rsidRDefault="00227D60" w:rsidP="00227D60"/>
    <w:p w:rsidR="00A77102" w:rsidRPr="0061726E" w:rsidRDefault="00A77102" w:rsidP="00A77102">
      <w:pPr>
        <w:pStyle w:val="Heading1"/>
      </w:pPr>
      <w:r>
        <w:lastRenderedPageBreak/>
        <w:t>Barriers to Full Participation</w:t>
      </w:r>
    </w:p>
    <w:p w:rsidR="00A77102" w:rsidRDefault="00A77102" w:rsidP="00A77102">
      <w:r w:rsidRPr="00905F0C">
        <w:rPr>
          <w:lang w:val="en-US"/>
        </w:rPr>
        <w:t xml:space="preserve">The Act defines four </w:t>
      </w:r>
      <w:r>
        <w:rPr>
          <w:lang w:val="en-US"/>
        </w:rPr>
        <w:t>ways</w:t>
      </w:r>
      <w:r w:rsidRPr="00905F0C">
        <w:rPr>
          <w:lang w:val="en-US"/>
        </w:rPr>
        <w:t xml:space="preserve"> </w:t>
      </w:r>
      <w:r>
        <w:rPr>
          <w:lang w:val="en-US"/>
        </w:rPr>
        <w:t>in which</w:t>
      </w:r>
      <w:r w:rsidRPr="00905F0C">
        <w:rPr>
          <w:lang w:val="en-US"/>
        </w:rPr>
        <w:t xml:space="preserve"> </w:t>
      </w:r>
      <w:r>
        <w:rPr>
          <w:lang w:val="en-US"/>
        </w:rPr>
        <w:t>people could</w:t>
      </w:r>
      <w:r>
        <w:t xml:space="preserve"> experience barriers that impair them from </w:t>
      </w:r>
      <w:r w:rsidRPr="00952941">
        <w:rPr>
          <w:lang w:val="en-US"/>
        </w:rPr>
        <w:t>fully participating in the key</w:t>
      </w:r>
      <w:r w:rsidRPr="00202388">
        <w:t xml:space="preserve"> care and support </w:t>
      </w:r>
      <w:r>
        <w:t xml:space="preserve">or safeguarding </w:t>
      </w:r>
      <w:r w:rsidRPr="00202388">
        <w:t>processes</w:t>
      </w:r>
      <w:r w:rsidRPr="00905F0C">
        <w:rPr>
          <w:lang w:val="en-US"/>
        </w:rPr>
        <w:t>:</w:t>
      </w:r>
      <w:r w:rsidRPr="007377AF">
        <w:t xml:space="preserve"> </w:t>
      </w:r>
    </w:p>
    <w:p w:rsidR="00A77102" w:rsidRPr="007377AF" w:rsidRDefault="00A77102" w:rsidP="00A77102"/>
    <w:p w:rsidR="00A77102" w:rsidRPr="007377AF" w:rsidRDefault="00A77102" w:rsidP="00A77102">
      <w:pPr>
        <w:pStyle w:val="Bullet10"/>
      </w:pPr>
      <w:r w:rsidRPr="007377AF">
        <w:rPr>
          <w:lang w:val="en-US"/>
        </w:rPr>
        <w:t>understanding relevant information</w:t>
      </w:r>
      <w:r w:rsidRPr="007377AF">
        <w:t xml:space="preserve"> </w:t>
      </w:r>
    </w:p>
    <w:p w:rsidR="00A77102" w:rsidRPr="007377AF" w:rsidRDefault="00A77102" w:rsidP="00A77102">
      <w:pPr>
        <w:pStyle w:val="Bullet10"/>
      </w:pPr>
      <w:r w:rsidRPr="007377AF">
        <w:rPr>
          <w:lang w:val="en-US"/>
        </w:rPr>
        <w:t>retaining information</w:t>
      </w:r>
    </w:p>
    <w:p w:rsidR="00A77102" w:rsidRPr="007377AF" w:rsidRDefault="00A77102" w:rsidP="00A77102">
      <w:pPr>
        <w:pStyle w:val="Bullet10"/>
      </w:pPr>
      <w:r w:rsidRPr="007377AF">
        <w:rPr>
          <w:lang w:val="en-US"/>
        </w:rPr>
        <w:t>using or weig</w:t>
      </w:r>
      <w:r>
        <w:rPr>
          <w:lang w:val="en-US"/>
        </w:rPr>
        <w:t>hing up the information</w:t>
      </w:r>
    </w:p>
    <w:p w:rsidR="00A77102" w:rsidRPr="007377AF" w:rsidRDefault="00A77102" w:rsidP="00A77102">
      <w:pPr>
        <w:pStyle w:val="Bullet10"/>
      </w:pPr>
      <w:r w:rsidRPr="007377AF">
        <w:rPr>
          <w:lang w:val="en-US"/>
        </w:rPr>
        <w:t>communicating their views, wishes and feelings</w:t>
      </w:r>
      <w:r w:rsidRPr="007377AF">
        <w:t xml:space="preserve"> </w:t>
      </w:r>
    </w:p>
    <w:p w:rsidR="00A77102" w:rsidRDefault="00A77102" w:rsidP="00A77102">
      <w:pPr>
        <w:rPr>
          <w:lang w:val="en-US"/>
        </w:rPr>
      </w:pPr>
    </w:p>
    <w:p w:rsidR="00A77102" w:rsidRDefault="00A77102" w:rsidP="00A77102">
      <w:r w:rsidRPr="00905F0C">
        <w:rPr>
          <w:lang w:val="en-US"/>
        </w:rPr>
        <w:t>Many people can be supported to understand relevant information, if it is presented appropriately and if time is taken to explain it.</w:t>
      </w:r>
      <w:r>
        <w:rPr>
          <w:lang w:val="en-US"/>
        </w:rPr>
        <w:t xml:space="preserve"> </w:t>
      </w:r>
      <w:r w:rsidRPr="00905F0C">
        <w:rPr>
          <w:lang w:val="en-US"/>
        </w:rPr>
        <w:t xml:space="preserve">Some people will not be able to </w:t>
      </w:r>
      <w:r w:rsidRPr="00064113">
        <w:rPr>
          <w:b/>
          <w:lang w:val="en-US"/>
        </w:rPr>
        <w:t>understand relevant information</w:t>
      </w:r>
      <w:r w:rsidRPr="00905F0C">
        <w:rPr>
          <w:lang w:val="en-US"/>
        </w:rPr>
        <w:t xml:space="preserve">, for example if they have </w:t>
      </w:r>
      <w:r>
        <w:rPr>
          <w:lang w:val="en-US"/>
        </w:rPr>
        <w:t xml:space="preserve">mid-stage or </w:t>
      </w:r>
      <w:r w:rsidRPr="00905F0C">
        <w:rPr>
          <w:lang w:val="en-US"/>
        </w:rPr>
        <w:t>advanced dementia.</w:t>
      </w:r>
      <w:r w:rsidRPr="007377AF">
        <w:t xml:space="preserve"> </w:t>
      </w:r>
    </w:p>
    <w:p w:rsidR="00A77102" w:rsidRPr="007377AF" w:rsidRDefault="00A77102" w:rsidP="00A77102"/>
    <w:p w:rsidR="00A77102" w:rsidRDefault="00A77102" w:rsidP="00A77102">
      <w:r w:rsidRPr="00EA41D1">
        <w:rPr>
          <w:lang w:val="en-US"/>
        </w:rPr>
        <w:t xml:space="preserve">If a person is unable to </w:t>
      </w:r>
      <w:r w:rsidRPr="00EA41D1">
        <w:rPr>
          <w:b/>
          <w:lang w:val="en-US"/>
        </w:rPr>
        <w:t>retain information</w:t>
      </w:r>
      <w:r w:rsidRPr="00EA41D1">
        <w:rPr>
          <w:lang w:val="en-US"/>
        </w:rPr>
        <w:t xml:space="preserve"> long enough to be able to weigh up options and make decisions, then they are likely </w:t>
      </w:r>
      <w:r w:rsidRPr="00EA41D1">
        <w:t xml:space="preserve">to be experiencing barriers in </w:t>
      </w:r>
      <w:r>
        <w:t>fully</w:t>
      </w:r>
      <w:r w:rsidRPr="00EA41D1">
        <w:t xml:space="preserve"> participating in </w:t>
      </w:r>
      <w:r>
        <w:t>the key care and support or safeguarding processes</w:t>
      </w:r>
      <w:r w:rsidRPr="00EA41D1">
        <w:rPr>
          <w:lang w:val="en-US"/>
        </w:rPr>
        <w:t>.</w:t>
      </w:r>
      <w:r w:rsidRPr="00EA41D1">
        <w:t xml:space="preserve"> </w:t>
      </w:r>
    </w:p>
    <w:p w:rsidR="00A77102" w:rsidRPr="00EA41D1" w:rsidRDefault="00A77102" w:rsidP="00A77102"/>
    <w:p w:rsidR="00A77102" w:rsidRDefault="00A77102" w:rsidP="00A77102">
      <w:r w:rsidRPr="00EA41D1">
        <w:rPr>
          <w:lang w:val="en-US"/>
        </w:rPr>
        <w:t xml:space="preserve">A person must be able to </w:t>
      </w:r>
      <w:r w:rsidRPr="00EA41D1">
        <w:rPr>
          <w:b/>
          <w:lang w:val="en-US"/>
        </w:rPr>
        <w:t>weigh up information</w:t>
      </w:r>
      <w:r w:rsidRPr="00EA41D1">
        <w:rPr>
          <w:lang w:val="en-US"/>
        </w:rPr>
        <w:t xml:space="preserve"> in order to participate fully and express preferences for or choose between options. For e</w:t>
      </w:r>
      <w:bookmarkStart w:id="0" w:name="_GoBack"/>
      <w:bookmarkEnd w:id="0"/>
      <w:r w:rsidRPr="00EA41D1">
        <w:rPr>
          <w:lang w:val="en-US"/>
        </w:rPr>
        <w:t xml:space="preserve">xample, they need to be able to weigh up the advantages and disadvantages of moving into a </w:t>
      </w:r>
      <w:r>
        <w:rPr>
          <w:lang w:val="en-US"/>
        </w:rPr>
        <w:t>residential</w:t>
      </w:r>
      <w:r w:rsidRPr="00EA41D1">
        <w:rPr>
          <w:lang w:val="en-US"/>
        </w:rPr>
        <w:t xml:space="preserve"> home. If they are unable to do this </w:t>
      </w:r>
      <w:r w:rsidRPr="00EA41D1">
        <w:t xml:space="preserve">they are likely to be experiencing barriers in </w:t>
      </w:r>
      <w:r>
        <w:t>fully</w:t>
      </w:r>
      <w:r w:rsidRPr="00EA41D1">
        <w:t xml:space="preserve"> participating in </w:t>
      </w:r>
      <w:r>
        <w:t>the key care and support or safeguarding processes.</w:t>
      </w:r>
    </w:p>
    <w:p w:rsidR="00A77102" w:rsidRPr="00EA41D1" w:rsidRDefault="00A77102" w:rsidP="00A77102"/>
    <w:p w:rsidR="00A77102" w:rsidRPr="00952941" w:rsidRDefault="00A77102" w:rsidP="00A77102">
      <w:pPr>
        <w:rPr>
          <w:lang w:val="en-US"/>
        </w:rPr>
      </w:pPr>
      <w:r w:rsidRPr="00EA41D1">
        <w:rPr>
          <w:lang w:val="en-US"/>
        </w:rPr>
        <w:t xml:space="preserve">A person must be able to </w:t>
      </w:r>
      <w:r w:rsidRPr="00EA41D1">
        <w:rPr>
          <w:b/>
          <w:lang w:val="en-US"/>
        </w:rPr>
        <w:t>communicate their views, wishes and feelings</w:t>
      </w:r>
      <w:r w:rsidRPr="00EA41D1">
        <w:rPr>
          <w:lang w:val="en-US"/>
        </w:rPr>
        <w:t xml:space="preserve"> </w:t>
      </w:r>
      <w:r w:rsidR="00952941">
        <w:rPr>
          <w:lang w:val="en-US"/>
        </w:rPr>
        <w:t>–</w:t>
      </w:r>
      <w:r w:rsidRPr="00EA41D1">
        <w:rPr>
          <w:lang w:val="en-US"/>
        </w:rPr>
        <w:t xml:space="preserve"> whether by talking, writing signing or any other means </w:t>
      </w:r>
      <w:r w:rsidR="00952941">
        <w:rPr>
          <w:lang w:val="en-US"/>
        </w:rPr>
        <w:t>–</w:t>
      </w:r>
      <w:r w:rsidRPr="00EA41D1">
        <w:rPr>
          <w:lang w:val="en-US"/>
        </w:rPr>
        <w:t xml:space="preserve"> to aid the decision process and to make </w:t>
      </w:r>
      <w:r>
        <w:rPr>
          <w:lang w:val="en-US"/>
        </w:rPr>
        <w:t xml:space="preserve">their </w:t>
      </w:r>
      <w:r w:rsidRPr="00EA41D1">
        <w:rPr>
          <w:lang w:val="en-US"/>
        </w:rPr>
        <w:t>priorities clear. If they are unable to do this</w:t>
      </w:r>
      <w:r w:rsidR="00952941">
        <w:rPr>
          <w:lang w:val="en-US"/>
        </w:rPr>
        <w:t>,</w:t>
      </w:r>
      <w:r w:rsidRPr="00EA41D1">
        <w:rPr>
          <w:lang w:val="en-US"/>
        </w:rPr>
        <w:t xml:space="preserve"> they </w:t>
      </w:r>
      <w:r w:rsidRPr="00EA41D1">
        <w:t xml:space="preserve">are likely to be experiencing barriers in </w:t>
      </w:r>
      <w:r>
        <w:t xml:space="preserve">fully </w:t>
      </w:r>
      <w:r w:rsidRPr="00EA41D1">
        <w:t>participating</w:t>
      </w:r>
      <w:r w:rsidRPr="00EA41D1">
        <w:rPr>
          <w:lang w:val="en-US"/>
        </w:rPr>
        <w:t>. For example, some people with mid-stage or advanced dementia, significant learning disabilities, a brain injury or mental ill health may experienc</w:t>
      </w:r>
      <w:r>
        <w:rPr>
          <w:lang w:val="en-US"/>
        </w:rPr>
        <w:t>e</w:t>
      </w:r>
      <w:r w:rsidRPr="00EA41D1">
        <w:rPr>
          <w:lang w:val="en-US"/>
        </w:rPr>
        <w:t xml:space="preserve"> barriers to </w:t>
      </w:r>
      <w:r>
        <w:rPr>
          <w:lang w:val="en-US"/>
        </w:rPr>
        <w:t xml:space="preserve">their </w:t>
      </w:r>
      <w:r>
        <w:t xml:space="preserve">full </w:t>
      </w:r>
      <w:r w:rsidRPr="00202388">
        <w:t>participat</w:t>
      </w:r>
      <w:r>
        <w:t>ion</w:t>
      </w:r>
      <w:r w:rsidRPr="00202388">
        <w:t xml:space="preserve"> in decisions made about their care and support</w:t>
      </w:r>
      <w:r w:rsidRPr="00EA41D1">
        <w:rPr>
          <w:lang w:val="en-US"/>
        </w:rPr>
        <w:t>. But equally a person with Asperger’s may do too, as may a frail older person who does not have a diagnosis but is confused as a result of an infection, or a person who is near the end of their life and appears disengaged from involvement and decision-making.</w:t>
      </w:r>
      <w:r w:rsidRPr="00EA41D1">
        <w:t xml:space="preserve"> Within this context, it is the person’s ability to communicate their views, wishes and feelings which is fundamental to their </w:t>
      </w:r>
      <w:r>
        <w:t>participation</w:t>
      </w:r>
      <w:r w:rsidRPr="00EA41D1">
        <w:t xml:space="preserve"> rather than the diagnosis or specific condition.</w:t>
      </w:r>
    </w:p>
    <w:p w:rsidR="00624350" w:rsidRDefault="00624350" w:rsidP="00A60B65"/>
    <w:p w:rsidR="00440D5D" w:rsidRDefault="00440D5D" w:rsidP="00A60B65"/>
    <w:sectPr w:rsidR="00440D5D"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F8" w:rsidRDefault="007216F8" w:rsidP="00A60B65">
      <w:r>
        <w:separator/>
      </w:r>
    </w:p>
  </w:endnote>
  <w:endnote w:type="continuationSeparator" w:id="0">
    <w:p w:rsidR="007216F8" w:rsidRDefault="007216F8"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rutiger-Bold">
    <w:altName w:val="L Frutiger 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952941">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731DC2">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F8" w:rsidRDefault="007216F8" w:rsidP="00A60B65">
      <w:r>
        <w:separator/>
      </w:r>
    </w:p>
  </w:footnote>
  <w:footnote w:type="continuationSeparator" w:id="0">
    <w:p w:rsidR="007216F8" w:rsidRDefault="007216F8"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0AAF4E46" wp14:editId="025A8BA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1">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EE2540"/>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7">
    <w:nsid w:val="49DE16AD"/>
    <w:multiLevelType w:val="hybridMultilevel"/>
    <w:tmpl w:val="308CEFBE"/>
    <w:lvl w:ilvl="0" w:tplc="08090005">
      <w:start w:val="1"/>
      <w:numFmt w:val="bullet"/>
      <w:lvlText w:val=""/>
      <w:lvlJc w:val="left"/>
      <w:pPr>
        <w:tabs>
          <w:tab w:val="num" w:pos="360"/>
        </w:tabs>
        <w:ind w:left="360" w:hanging="360"/>
      </w:pPr>
      <w:rPr>
        <w:rFonts w:ascii="Wingdings" w:hAnsi="Wingdings" w:hint="default"/>
      </w:rPr>
    </w:lvl>
    <w:lvl w:ilvl="1" w:tplc="30EE8E22">
      <w:start w:val="3288"/>
      <w:numFmt w:val="bullet"/>
      <w:lvlText w:val=""/>
      <w:lvlJc w:val="left"/>
      <w:pPr>
        <w:tabs>
          <w:tab w:val="num" w:pos="1080"/>
        </w:tabs>
        <w:ind w:left="1080" w:hanging="360"/>
      </w:pPr>
      <w:rPr>
        <w:rFonts w:ascii="Wingdings" w:hAnsi="Wingdings" w:hint="default"/>
      </w:rPr>
    </w:lvl>
    <w:lvl w:ilvl="2" w:tplc="3502FBF2" w:tentative="1">
      <w:start w:val="1"/>
      <w:numFmt w:val="bullet"/>
      <w:lvlText w:val="•"/>
      <w:lvlJc w:val="left"/>
      <w:pPr>
        <w:tabs>
          <w:tab w:val="num" w:pos="1800"/>
        </w:tabs>
        <w:ind w:left="1800" w:hanging="360"/>
      </w:pPr>
      <w:rPr>
        <w:rFonts w:ascii="Arial" w:hAnsi="Arial" w:hint="default"/>
      </w:rPr>
    </w:lvl>
    <w:lvl w:ilvl="3" w:tplc="2E5285A6" w:tentative="1">
      <w:start w:val="1"/>
      <w:numFmt w:val="bullet"/>
      <w:lvlText w:val="•"/>
      <w:lvlJc w:val="left"/>
      <w:pPr>
        <w:tabs>
          <w:tab w:val="num" w:pos="2520"/>
        </w:tabs>
        <w:ind w:left="2520" w:hanging="360"/>
      </w:pPr>
      <w:rPr>
        <w:rFonts w:ascii="Arial" w:hAnsi="Arial" w:hint="default"/>
      </w:rPr>
    </w:lvl>
    <w:lvl w:ilvl="4" w:tplc="B6D80A00" w:tentative="1">
      <w:start w:val="1"/>
      <w:numFmt w:val="bullet"/>
      <w:lvlText w:val="•"/>
      <w:lvlJc w:val="left"/>
      <w:pPr>
        <w:tabs>
          <w:tab w:val="num" w:pos="3240"/>
        </w:tabs>
        <w:ind w:left="3240" w:hanging="360"/>
      </w:pPr>
      <w:rPr>
        <w:rFonts w:ascii="Arial" w:hAnsi="Arial" w:hint="default"/>
      </w:rPr>
    </w:lvl>
    <w:lvl w:ilvl="5" w:tplc="F300D4DE" w:tentative="1">
      <w:start w:val="1"/>
      <w:numFmt w:val="bullet"/>
      <w:lvlText w:val="•"/>
      <w:lvlJc w:val="left"/>
      <w:pPr>
        <w:tabs>
          <w:tab w:val="num" w:pos="3960"/>
        </w:tabs>
        <w:ind w:left="3960" w:hanging="360"/>
      </w:pPr>
      <w:rPr>
        <w:rFonts w:ascii="Arial" w:hAnsi="Arial" w:hint="default"/>
      </w:rPr>
    </w:lvl>
    <w:lvl w:ilvl="6" w:tplc="EB08559C" w:tentative="1">
      <w:start w:val="1"/>
      <w:numFmt w:val="bullet"/>
      <w:lvlText w:val="•"/>
      <w:lvlJc w:val="left"/>
      <w:pPr>
        <w:tabs>
          <w:tab w:val="num" w:pos="4680"/>
        </w:tabs>
        <w:ind w:left="4680" w:hanging="360"/>
      </w:pPr>
      <w:rPr>
        <w:rFonts w:ascii="Arial" w:hAnsi="Arial" w:hint="default"/>
      </w:rPr>
    </w:lvl>
    <w:lvl w:ilvl="7" w:tplc="CEA2CF2C" w:tentative="1">
      <w:start w:val="1"/>
      <w:numFmt w:val="bullet"/>
      <w:lvlText w:val="•"/>
      <w:lvlJc w:val="left"/>
      <w:pPr>
        <w:tabs>
          <w:tab w:val="num" w:pos="5400"/>
        </w:tabs>
        <w:ind w:left="5400" w:hanging="360"/>
      </w:pPr>
      <w:rPr>
        <w:rFonts w:ascii="Arial" w:hAnsi="Arial" w:hint="default"/>
      </w:rPr>
    </w:lvl>
    <w:lvl w:ilvl="8" w:tplc="83B09E24" w:tentative="1">
      <w:start w:val="1"/>
      <w:numFmt w:val="bullet"/>
      <w:lvlText w:val="•"/>
      <w:lvlJc w:val="left"/>
      <w:pPr>
        <w:tabs>
          <w:tab w:val="num" w:pos="6120"/>
        </w:tabs>
        <w:ind w:left="612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7706E1"/>
    <w:multiLevelType w:val="hybridMultilevel"/>
    <w:tmpl w:val="4E14DAFE"/>
    <w:lvl w:ilvl="0" w:tplc="ED880F5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B941B8"/>
    <w:multiLevelType w:val="hybridMultilevel"/>
    <w:tmpl w:val="D5EA2DD6"/>
    <w:lvl w:ilvl="0" w:tplc="D18ECCF0">
      <w:start w:val="1"/>
      <w:numFmt w:val="decimal"/>
      <w:lvlText w:val="%1."/>
      <w:lvlJc w:val="left"/>
      <w:pPr>
        <w:tabs>
          <w:tab w:val="num" w:pos="720"/>
        </w:tabs>
        <w:ind w:left="720" w:hanging="360"/>
      </w:pPr>
    </w:lvl>
    <w:lvl w:ilvl="1" w:tplc="AEB032D0">
      <w:start w:val="661"/>
      <w:numFmt w:val="bullet"/>
      <w:lvlText w:val="•"/>
      <w:lvlJc w:val="left"/>
      <w:pPr>
        <w:tabs>
          <w:tab w:val="num" w:pos="1440"/>
        </w:tabs>
        <w:ind w:left="1440" w:hanging="360"/>
      </w:pPr>
      <w:rPr>
        <w:rFonts w:ascii="Arial" w:hAnsi="Arial" w:hint="default"/>
      </w:rPr>
    </w:lvl>
    <w:lvl w:ilvl="2" w:tplc="CD748756" w:tentative="1">
      <w:start w:val="1"/>
      <w:numFmt w:val="decimal"/>
      <w:lvlText w:val="%3."/>
      <w:lvlJc w:val="left"/>
      <w:pPr>
        <w:tabs>
          <w:tab w:val="num" w:pos="2160"/>
        </w:tabs>
        <w:ind w:left="2160" w:hanging="360"/>
      </w:pPr>
    </w:lvl>
    <w:lvl w:ilvl="3" w:tplc="8BE2CDC4" w:tentative="1">
      <w:start w:val="1"/>
      <w:numFmt w:val="decimal"/>
      <w:lvlText w:val="%4."/>
      <w:lvlJc w:val="left"/>
      <w:pPr>
        <w:tabs>
          <w:tab w:val="num" w:pos="2880"/>
        </w:tabs>
        <w:ind w:left="2880" w:hanging="360"/>
      </w:pPr>
    </w:lvl>
    <w:lvl w:ilvl="4" w:tplc="7BF6327C" w:tentative="1">
      <w:start w:val="1"/>
      <w:numFmt w:val="decimal"/>
      <w:lvlText w:val="%5."/>
      <w:lvlJc w:val="left"/>
      <w:pPr>
        <w:tabs>
          <w:tab w:val="num" w:pos="3600"/>
        </w:tabs>
        <w:ind w:left="3600" w:hanging="360"/>
      </w:pPr>
    </w:lvl>
    <w:lvl w:ilvl="5" w:tplc="1D407DD8" w:tentative="1">
      <w:start w:val="1"/>
      <w:numFmt w:val="decimal"/>
      <w:lvlText w:val="%6."/>
      <w:lvlJc w:val="left"/>
      <w:pPr>
        <w:tabs>
          <w:tab w:val="num" w:pos="4320"/>
        </w:tabs>
        <w:ind w:left="4320" w:hanging="360"/>
      </w:pPr>
    </w:lvl>
    <w:lvl w:ilvl="6" w:tplc="6C1278B2" w:tentative="1">
      <w:start w:val="1"/>
      <w:numFmt w:val="decimal"/>
      <w:lvlText w:val="%7."/>
      <w:lvlJc w:val="left"/>
      <w:pPr>
        <w:tabs>
          <w:tab w:val="num" w:pos="5040"/>
        </w:tabs>
        <w:ind w:left="5040" w:hanging="360"/>
      </w:pPr>
    </w:lvl>
    <w:lvl w:ilvl="7" w:tplc="DA36D4A6" w:tentative="1">
      <w:start w:val="1"/>
      <w:numFmt w:val="decimal"/>
      <w:lvlText w:val="%8."/>
      <w:lvlJc w:val="left"/>
      <w:pPr>
        <w:tabs>
          <w:tab w:val="num" w:pos="5760"/>
        </w:tabs>
        <w:ind w:left="5760" w:hanging="360"/>
      </w:pPr>
    </w:lvl>
    <w:lvl w:ilvl="8" w:tplc="64A0D2B6" w:tentative="1">
      <w:start w:val="1"/>
      <w:numFmt w:val="decimal"/>
      <w:lvlText w:val="%9."/>
      <w:lvlJc w:val="left"/>
      <w:pPr>
        <w:tabs>
          <w:tab w:val="num" w:pos="6480"/>
        </w:tabs>
        <w:ind w:left="6480" w:hanging="360"/>
      </w:p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1">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2">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6"/>
  </w:num>
  <w:num w:numId="3">
    <w:abstractNumId w:val="24"/>
  </w:num>
  <w:num w:numId="4">
    <w:abstractNumId w:val="24"/>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4"/>
  </w:num>
  <w:num w:numId="6">
    <w:abstractNumId w:val="8"/>
  </w:num>
  <w:num w:numId="7">
    <w:abstractNumId w:val="35"/>
    <w:lvlOverride w:ilvl="0">
      <w:startOverride w:val="1"/>
    </w:lvlOverride>
  </w:num>
  <w:num w:numId="8">
    <w:abstractNumId w:val="25"/>
  </w:num>
  <w:num w:numId="9">
    <w:abstractNumId w:val="35"/>
  </w:num>
  <w:num w:numId="10">
    <w:abstractNumId w:val="20"/>
  </w:num>
  <w:num w:numId="11">
    <w:abstractNumId w:val="1"/>
  </w:num>
  <w:num w:numId="12">
    <w:abstractNumId w:val="27"/>
  </w:num>
  <w:num w:numId="13">
    <w:abstractNumId w:val="31"/>
  </w:num>
  <w:num w:numId="14">
    <w:abstractNumId w:val="18"/>
  </w:num>
  <w:num w:numId="15">
    <w:abstractNumId w:val="16"/>
  </w:num>
  <w:num w:numId="16">
    <w:abstractNumId w:val="30"/>
  </w:num>
  <w:num w:numId="17">
    <w:abstractNumId w:val="2"/>
  </w:num>
  <w:num w:numId="18">
    <w:abstractNumId w:val="10"/>
  </w:num>
  <w:num w:numId="19">
    <w:abstractNumId w:val="19"/>
  </w:num>
  <w:num w:numId="20">
    <w:abstractNumId w:val="4"/>
  </w:num>
  <w:num w:numId="21">
    <w:abstractNumId w:val="32"/>
  </w:num>
  <w:num w:numId="22">
    <w:abstractNumId w:val="15"/>
  </w:num>
  <w:num w:numId="23">
    <w:abstractNumId w:val="26"/>
  </w:num>
  <w:num w:numId="24">
    <w:abstractNumId w:val="33"/>
  </w:num>
  <w:num w:numId="25">
    <w:abstractNumId w:val="4"/>
    <w:lvlOverride w:ilvl="0">
      <w:startOverride w:val="1"/>
    </w:lvlOverride>
  </w:num>
  <w:num w:numId="26">
    <w:abstractNumId w:val="29"/>
  </w:num>
  <w:num w:numId="27">
    <w:abstractNumId w:val="34"/>
  </w:num>
  <w:num w:numId="28">
    <w:abstractNumId w:val="23"/>
  </w:num>
  <w:num w:numId="29">
    <w:abstractNumId w:val="7"/>
  </w:num>
  <w:num w:numId="30">
    <w:abstractNumId w:val="12"/>
  </w:num>
  <w:num w:numId="31">
    <w:abstractNumId w:val="11"/>
  </w:num>
  <w:num w:numId="32">
    <w:abstractNumId w:val="0"/>
  </w:num>
  <w:num w:numId="33">
    <w:abstractNumId w:val="21"/>
  </w:num>
  <w:num w:numId="34">
    <w:abstractNumId w:val="5"/>
  </w:num>
  <w:num w:numId="35">
    <w:abstractNumId w:val="13"/>
  </w:num>
  <w:num w:numId="36">
    <w:abstractNumId w:val="28"/>
  </w:num>
  <w:num w:numId="37">
    <w:abstractNumId w:val="17"/>
  </w:num>
  <w:num w:numId="38">
    <w:abstractNumId w:val="26"/>
    <w:lvlOverride w:ilvl="0">
      <w:startOverride w:val="1"/>
    </w:lvlOverride>
  </w:num>
  <w:num w:numId="39">
    <w:abstractNumId w:val="2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85119"/>
    <w:rsid w:val="000879C6"/>
    <w:rsid w:val="00090064"/>
    <w:rsid w:val="000A19E3"/>
    <w:rsid w:val="000C307D"/>
    <w:rsid w:val="000C5390"/>
    <w:rsid w:val="000D6C98"/>
    <w:rsid w:val="000E6DE0"/>
    <w:rsid w:val="000F3CA9"/>
    <w:rsid w:val="001055F0"/>
    <w:rsid w:val="001145D1"/>
    <w:rsid w:val="00115EE1"/>
    <w:rsid w:val="0011648B"/>
    <w:rsid w:val="00130FC5"/>
    <w:rsid w:val="00132179"/>
    <w:rsid w:val="00142149"/>
    <w:rsid w:val="00176539"/>
    <w:rsid w:val="00187803"/>
    <w:rsid w:val="001D57E5"/>
    <w:rsid w:val="00213728"/>
    <w:rsid w:val="00225372"/>
    <w:rsid w:val="00226AF3"/>
    <w:rsid w:val="00227D60"/>
    <w:rsid w:val="00255D2A"/>
    <w:rsid w:val="0026224C"/>
    <w:rsid w:val="00273E57"/>
    <w:rsid w:val="002867EA"/>
    <w:rsid w:val="0029188E"/>
    <w:rsid w:val="002B1F32"/>
    <w:rsid w:val="002D6D1A"/>
    <w:rsid w:val="002D6DF1"/>
    <w:rsid w:val="00300305"/>
    <w:rsid w:val="00305DD8"/>
    <w:rsid w:val="0031794B"/>
    <w:rsid w:val="003525D3"/>
    <w:rsid w:val="00383BC9"/>
    <w:rsid w:val="00390B73"/>
    <w:rsid w:val="003927DD"/>
    <w:rsid w:val="00396DF0"/>
    <w:rsid w:val="003A61EC"/>
    <w:rsid w:val="003D376B"/>
    <w:rsid w:val="003F0362"/>
    <w:rsid w:val="003F0D13"/>
    <w:rsid w:val="003F3341"/>
    <w:rsid w:val="003F3873"/>
    <w:rsid w:val="003F5A4C"/>
    <w:rsid w:val="00440D5D"/>
    <w:rsid w:val="0046294F"/>
    <w:rsid w:val="00471C00"/>
    <w:rsid w:val="004871C7"/>
    <w:rsid w:val="004906B1"/>
    <w:rsid w:val="004A66D6"/>
    <w:rsid w:val="004B7B1B"/>
    <w:rsid w:val="00523FA3"/>
    <w:rsid w:val="00540719"/>
    <w:rsid w:val="00582A3D"/>
    <w:rsid w:val="005D358F"/>
    <w:rsid w:val="00624350"/>
    <w:rsid w:val="0063169B"/>
    <w:rsid w:val="00653824"/>
    <w:rsid w:val="00694756"/>
    <w:rsid w:val="006B55EC"/>
    <w:rsid w:val="006E229C"/>
    <w:rsid w:val="006E4991"/>
    <w:rsid w:val="00711F77"/>
    <w:rsid w:val="007216F8"/>
    <w:rsid w:val="00731DC2"/>
    <w:rsid w:val="0076052D"/>
    <w:rsid w:val="007A0A66"/>
    <w:rsid w:val="007A2579"/>
    <w:rsid w:val="00803080"/>
    <w:rsid w:val="00810563"/>
    <w:rsid w:val="00842CC1"/>
    <w:rsid w:val="00876BD4"/>
    <w:rsid w:val="008D505C"/>
    <w:rsid w:val="008D6D0E"/>
    <w:rsid w:val="008E7123"/>
    <w:rsid w:val="0090739C"/>
    <w:rsid w:val="009143F1"/>
    <w:rsid w:val="00950CD7"/>
    <w:rsid w:val="00952941"/>
    <w:rsid w:val="00956064"/>
    <w:rsid w:val="0095660B"/>
    <w:rsid w:val="0096416B"/>
    <w:rsid w:val="009A013C"/>
    <w:rsid w:val="00A11033"/>
    <w:rsid w:val="00A2075A"/>
    <w:rsid w:val="00A516DF"/>
    <w:rsid w:val="00A60B65"/>
    <w:rsid w:val="00A77102"/>
    <w:rsid w:val="00AF4D6F"/>
    <w:rsid w:val="00AF58A5"/>
    <w:rsid w:val="00B42501"/>
    <w:rsid w:val="00B70B7B"/>
    <w:rsid w:val="00BC5279"/>
    <w:rsid w:val="00BC5D28"/>
    <w:rsid w:val="00BC68AD"/>
    <w:rsid w:val="00BD47C9"/>
    <w:rsid w:val="00BF3F9A"/>
    <w:rsid w:val="00C06D15"/>
    <w:rsid w:val="00C33CB5"/>
    <w:rsid w:val="00C37528"/>
    <w:rsid w:val="00C65408"/>
    <w:rsid w:val="00CC56C9"/>
    <w:rsid w:val="00D20A4F"/>
    <w:rsid w:val="00D24A65"/>
    <w:rsid w:val="00D25A0F"/>
    <w:rsid w:val="00D32A9B"/>
    <w:rsid w:val="00D53F01"/>
    <w:rsid w:val="00D76AFB"/>
    <w:rsid w:val="00D7779D"/>
    <w:rsid w:val="00D958F5"/>
    <w:rsid w:val="00DC4B1A"/>
    <w:rsid w:val="00DE4ACB"/>
    <w:rsid w:val="00E001FD"/>
    <w:rsid w:val="00E16677"/>
    <w:rsid w:val="00E354E3"/>
    <w:rsid w:val="00E5345F"/>
    <w:rsid w:val="00E70786"/>
    <w:rsid w:val="00E74299"/>
    <w:rsid w:val="00E91747"/>
    <w:rsid w:val="00E96BDC"/>
    <w:rsid w:val="00EB58AA"/>
    <w:rsid w:val="00EE24DA"/>
    <w:rsid w:val="00F17682"/>
    <w:rsid w:val="00F366B1"/>
    <w:rsid w:val="00F97D0D"/>
    <w:rsid w:val="00FA0525"/>
    <w:rsid w:val="00FB0311"/>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C9A73-86F7-4EE9-B82D-A5E2E83F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7</cp:revision>
  <dcterms:created xsi:type="dcterms:W3CDTF">2015-10-29T15:22:00Z</dcterms:created>
  <dcterms:modified xsi:type="dcterms:W3CDTF">2015-12-17T13:55:00Z</dcterms:modified>
</cp:coreProperties>
</file>