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6CED7" w14:textId="77777777" w:rsidR="00653824" w:rsidRDefault="00653824" w:rsidP="00FA5708"/>
    <w:p w14:paraId="7F69C853" w14:textId="243F2CF3" w:rsidR="00A60B65" w:rsidRPr="00E36CBB" w:rsidRDefault="00A60B65" w:rsidP="00E36CBB">
      <w:pPr>
        <w:pBdr>
          <w:bottom w:val="single" w:sz="8" w:space="1" w:color="5CC9E3"/>
        </w:pBdr>
        <w:spacing w:before="60" w:after="60"/>
        <w:ind w:right="-1136"/>
        <w:rPr>
          <w:b/>
          <w:sz w:val="36"/>
          <w:szCs w:val="36"/>
        </w:rPr>
      </w:pPr>
      <w:r w:rsidRPr="00E36CBB">
        <w:rPr>
          <w:b/>
          <w:sz w:val="36"/>
          <w:szCs w:val="36"/>
        </w:rPr>
        <w:t>SOCIAL SERVICES AND WELL-BEING (WALES) ACT</w:t>
      </w:r>
      <w:r w:rsidR="00334314" w:rsidRPr="00E36CBB">
        <w:rPr>
          <w:b/>
          <w:sz w:val="36"/>
          <w:szCs w:val="36"/>
        </w:rPr>
        <w:t xml:space="preserve"> </w:t>
      </w:r>
      <w:r w:rsidR="00E36CBB">
        <w:rPr>
          <w:b/>
          <w:sz w:val="36"/>
          <w:szCs w:val="36"/>
        </w:rPr>
        <w:br/>
      </w:r>
      <w:r w:rsidR="00334314" w:rsidRPr="00E36CBB">
        <w:rPr>
          <w:b/>
          <w:sz w:val="36"/>
          <w:szCs w:val="36"/>
        </w:rPr>
        <w:t>2014</w:t>
      </w:r>
    </w:p>
    <w:p w14:paraId="1837058B" w14:textId="26D5D787" w:rsidR="00A60B65" w:rsidRPr="00E36CBB" w:rsidRDefault="00CC2577" w:rsidP="00FA5708">
      <w:pPr>
        <w:spacing w:before="60" w:after="60"/>
        <w:rPr>
          <w:b/>
          <w:sz w:val="36"/>
          <w:szCs w:val="36"/>
        </w:rPr>
      </w:pPr>
      <w:r w:rsidRPr="00E36CBB">
        <w:rPr>
          <w:b/>
          <w:sz w:val="36"/>
          <w:szCs w:val="36"/>
        </w:rPr>
        <w:t>ACTIVITY</w:t>
      </w:r>
    </w:p>
    <w:p w14:paraId="11DC5155" w14:textId="77777777" w:rsidR="00653824" w:rsidRDefault="00653824" w:rsidP="00FA5708"/>
    <w:p w14:paraId="4C28E752" w14:textId="64A7388D" w:rsidR="00270704" w:rsidRPr="00764700" w:rsidRDefault="000C7AF1" w:rsidP="00FA5708">
      <w:pPr>
        <w:pStyle w:val="Heading2"/>
        <w:ind w:left="576" w:hanging="576"/>
        <w:rPr>
          <w:rFonts w:eastAsia="Frutiger-Light"/>
          <w:color w:val="5CC9E3"/>
          <w:sz w:val="40"/>
          <w:szCs w:val="40"/>
        </w:rPr>
      </w:pPr>
      <w:r>
        <w:rPr>
          <w:rFonts w:eastAsia="Frutiger-Light"/>
          <w:color w:val="5CC9E3"/>
          <w:sz w:val="40"/>
          <w:szCs w:val="40"/>
        </w:rPr>
        <w:t>Adult p</w:t>
      </w:r>
      <w:r w:rsidR="00270704" w:rsidRPr="00270704">
        <w:rPr>
          <w:rFonts w:eastAsia="Frutiger-Light"/>
          <w:color w:val="5CC9E3"/>
          <w:sz w:val="40"/>
          <w:szCs w:val="40"/>
        </w:rPr>
        <w:t xml:space="preserve">rotection and </w:t>
      </w:r>
      <w:r>
        <w:rPr>
          <w:rFonts w:eastAsia="Frutiger-Light"/>
          <w:color w:val="5CC9E3"/>
          <w:sz w:val="40"/>
          <w:szCs w:val="40"/>
        </w:rPr>
        <w:t>s</w:t>
      </w:r>
      <w:r w:rsidR="00270704" w:rsidRPr="00270704">
        <w:rPr>
          <w:rFonts w:eastAsia="Frutiger-Light"/>
          <w:color w:val="5CC9E3"/>
          <w:sz w:val="40"/>
          <w:szCs w:val="40"/>
        </w:rPr>
        <w:t>upport</w:t>
      </w:r>
      <w:r>
        <w:rPr>
          <w:rFonts w:eastAsia="Frutiger-Light"/>
          <w:color w:val="5CC9E3"/>
          <w:sz w:val="40"/>
          <w:szCs w:val="40"/>
        </w:rPr>
        <w:t xml:space="preserve"> o</w:t>
      </w:r>
      <w:r w:rsidR="00270704" w:rsidRPr="00270704">
        <w:rPr>
          <w:rFonts w:eastAsia="Frutiger-Light"/>
          <w:color w:val="5CC9E3"/>
          <w:sz w:val="40"/>
          <w:szCs w:val="40"/>
        </w:rPr>
        <w:t>rders</w:t>
      </w:r>
      <w:r w:rsidR="00300649">
        <w:rPr>
          <w:rFonts w:eastAsia="Frutiger-Light"/>
          <w:color w:val="5CC9E3"/>
          <w:sz w:val="40"/>
          <w:szCs w:val="40"/>
        </w:rPr>
        <w:t xml:space="preserve"> (APSO</w:t>
      </w:r>
      <w:r w:rsidR="006F6EF2">
        <w:rPr>
          <w:rFonts w:eastAsia="Frutiger-Light"/>
          <w:color w:val="5CC9E3"/>
          <w:sz w:val="40"/>
          <w:szCs w:val="40"/>
        </w:rPr>
        <w:t>s</w:t>
      </w:r>
      <w:r w:rsidR="00300649">
        <w:rPr>
          <w:rFonts w:eastAsia="Frutiger-Light"/>
          <w:color w:val="5CC9E3"/>
          <w:sz w:val="40"/>
          <w:szCs w:val="40"/>
        </w:rPr>
        <w:t>)</w:t>
      </w:r>
    </w:p>
    <w:p w14:paraId="583F0C87" w14:textId="63BE5B22" w:rsidR="00E354E3" w:rsidRPr="00764700" w:rsidRDefault="00F61174" w:rsidP="00FA5708">
      <w:pPr>
        <w:pStyle w:val="Heading2"/>
        <w:ind w:left="576" w:hanging="576"/>
        <w:rPr>
          <w:rFonts w:eastAsia="Frutiger-Light"/>
          <w:color w:val="5CC9E3"/>
          <w:sz w:val="40"/>
          <w:szCs w:val="40"/>
        </w:rPr>
      </w:pPr>
      <w:r>
        <w:rPr>
          <w:rFonts w:eastAsia="Frutiger-Light"/>
          <w:color w:val="5CC9E3"/>
          <w:sz w:val="40"/>
          <w:szCs w:val="40"/>
        </w:rPr>
        <w:t>Promoting well-being</w:t>
      </w:r>
    </w:p>
    <w:p w14:paraId="3FC14177" w14:textId="77777777" w:rsidR="00F61174" w:rsidRDefault="00F61174" w:rsidP="00F61174">
      <w:pPr>
        <w:pStyle w:val="Numberlist"/>
        <w:numPr>
          <w:ilvl w:val="0"/>
          <w:numId w:val="11"/>
        </w:numPr>
        <w:tabs>
          <w:tab w:val="left" w:pos="426"/>
        </w:tabs>
        <w:spacing w:after="60"/>
      </w:pPr>
      <w:r>
        <w:t>How can an Adult Protection and Support Order promote well-being?</w:t>
      </w:r>
    </w:p>
    <w:p w14:paraId="73F9476C" w14:textId="250C5D6C" w:rsidR="00F61174" w:rsidRDefault="00F61174" w:rsidP="00F61174">
      <w:pPr>
        <w:pStyle w:val="Numberlist"/>
        <w:numPr>
          <w:ilvl w:val="0"/>
          <w:numId w:val="11"/>
        </w:numPr>
        <w:tabs>
          <w:tab w:val="left" w:pos="426"/>
        </w:tabs>
        <w:spacing w:after="60"/>
      </w:pPr>
      <w:r>
        <w:t>How can an Adult Protection and Support Order undermine well-being?</w:t>
      </w:r>
    </w:p>
    <w:p w14:paraId="3BB8366A" w14:textId="59E92745" w:rsidR="00F61174" w:rsidRDefault="00F61174" w:rsidP="00F61174">
      <w:pPr>
        <w:spacing w:after="200" w:line="276" w:lineRule="auto"/>
      </w:pPr>
      <w:r>
        <w:br w:type="page"/>
      </w:r>
    </w:p>
    <w:p w14:paraId="3D35E83B" w14:textId="77777777" w:rsidR="00F61174" w:rsidRDefault="00F61174" w:rsidP="00F61174">
      <w:pPr>
        <w:pStyle w:val="Numberlist"/>
        <w:numPr>
          <w:ilvl w:val="0"/>
          <w:numId w:val="0"/>
        </w:num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61174" w14:paraId="1CE4FF28" w14:textId="77777777" w:rsidTr="006F6EF2">
        <w:trPr>
          <w:trHeight w:val="12899"/>
        </w:trPr>
        <w:tc>
          <w:tcPr>
            <w:tcW w:w="9356" w:type="dxa"/>
          </w:tcPr>
          <w:p w14:paraId="581AEBC9" w14:textId="77777777" w:rsidR="00F61174" w:rsidRPr="00B80CAC" w:rsidRDefault="00F61174" w:rsidP="00156B23">
            <w:pPr>
              <w:pStyle w:val="KeyLPHeading"/>
              <w:spacing w:line="240" w:lineRule="auto"/>
              <w:rPr>
                <w:color w:val="auto"/>
              </w:rPr>
            </w:pPr>
            <w:r>
              <w:rPr>
                <w:color w:val="auto"/>
              </w:rPr>
              <w:t>Suggested answer:</w:t>
            </w:r>
          </w:p>
          <w:p w14:paraId="1BD45B62" w14:textId="77777777" w:rsidR="00F61174" w:rsidRPr="00CA6DAD" w:rsidRDefault="00F61174" w:rsidP="00156B23">
            <w:r>
              <w:t xml:space="preserve">Well-being in the Act includes </w:t>
            </w:r>
            <w:r w:rsidRPr="00F22060">
              <w:t>protection from abuse and neglect</w:t>
            </w:r>
            <w:r>
              <w:t>. APSOs enable</w:t>
            </w:r>
            <w:r>
              <w:rPr>
                <w:rFonts w:eastAsia="Times New Roman"/>
                <w:color w:val="000000"/>
                <w:sz w:val="22"/>
                <w:lang w:val="en" w:eastAsia="en-GB"/>
              </w:rPr>
              <w:t xml:space="preserve"> </w:t>
            </w:r>
            <w:r>
              <w:t>authorised officers to</w:t>
            </w:r>
            <w:r w:rsidRPr="00CA6DAD">
              <w:t>:</w:t>
            </w:r>
          </w:p>
          <w:p w14:paraId="3CC27E84" w14:textId="77777777" w:rsidR="00F61174" w:rsidRPr="00CA6DAD" w:rsidRDefault="00F61174" w:rsidP="00F61174">
            <w:pPr>
              <w:pStyle w:val="ListParagraph"/>
              <w:numPr>
                <w:ilvl w:val="0"/>
                <w:numId w:val="13"/>
              </w:numPr>
            </w:pPr>
            <w:r w:rsidRPr="00CA6DAD">
              <w:t>speak in private with a person suspected of being an adult at risk,</w:t>
            </w:r>
          </w:p>
          <w:p w14:paraId="0C7C6579" w14:textId="77777777" w:rsidR="00F61174" w:rsidRPr="00CA6DAD" w:rsidRDefault="00F61174" w:rsidP="00F61174">
            <w:pPr>
              <w:pStyle w:val="ListParagraph"/>
              <w:numPr>
                <w:ilvl w:val="0"/>
                <w:numId w:val="13"/>
              </w:numPr>
              <w:rPr>
                <w:szCs w:val="24"/>
              </w:rPr>
            </w:pPr>
            <w:r w:rsidRPr="00CA6DAD">
              <w:t>ascertain</w:t>
            </w:r>
            <w:r w:rsidRPr="00CA6DAD">
              <w:rPr>
                <w:szCs w:val="24"/>
              </w:rPr>
              <w:t xml:space="preserve"> whether that person is making decisions freely, and</w:t>
            </w:r>
          </w:p>
          <w:p w14:paraId="1B4D8C6E" w14:textId="1DA8C49E" w:rsidR="00F61174" w:rsidRPr="00F22060" w:rsidRDefault="00F61174" w:rsidP="00F61174">
            <w:pPr>
              <w:pStyle w:val="ListParagraph"/>
              <w:numPr>
                <w:ilvl w:val="0"/>
                <w:numId w:val="12"/>
              </w:numPr>
              <w:rPr>
                <w:rFonts w:eastAsia="Times New Roman"/>
                <w:color w:val="000000"/>
                <w:sz w:val="22"/>
                <w:lang w:val="en" w:eastAsia="en-GB"/>
              </w:rPr>
            </w:pPr>
            <w:r w:rsidRPr="00962378">
              <w:rPr>
                <w:szCs w:val="24"/>
              </w:rPr>
              <w:t>properly assess whether the person is an adult at risk and to make a decision</w:t>
            </w:r>
            <w:r w:rsidRPr="00F22060">
              <w:rPr>
                <w:rFonts w:eastAsia="Times New Roman"/>
                <w:color w:val="000000"/>
                <w:sz w:val="22"/>
                <w:lang w:val="en" w:eastAsia="en-GB"/>
              </w:rPr>
              <w:t xml:space="preserve"> </w:t>
            </w:r>
            <w:r w:rsidRPr="00C30986">
              <w:t xml:space="preserve">as required by </w:t>
            </w:r>
            <w:r w:rsidR="00D159AA">
              <w:t>S</w:t>
            </w:r>
            <w:r w:rsidR="00D159AA" w:rsidRPr="00C30986">
              <w:t xml:space="preserve">ection </w:t>
            </w:r>
            <w:r w:rsidRPr="00C30986">
              <w:t>126(2) on what, if any, action should be taken</w:t>
            </w:r>
            <w:r>
              <w:t xml:space="preserve"> (127 (2))</w:t>
            </w:r>
            <w:r w:rsidR="00D159AA">
              <w:t>.</w:t>
            </w:r>
          </w:p>
          <w:p w14:paraId="091117A7" w14:textId="14604AC3" w:rsidR="00F61174" w:rsidRDefault="00F61174" w:rsidP="00156B23">
            <w:r>
              <w:t xml:space="preserve">This means that the authorised officer can ensure that adults at risk have the opportunity to make choices about their own protection. </w:t>
            </w:r>
          </w:p>
          <w:p w14:paraId="6FC52447" w14:textId="77777777" w:rsidR="00F61174" w:rsidRDefault="00F61174" w:rsidP="00156B23"/>
          <w:p w14:paraId="790DA3FC" w14:textId="6E8B9B77" w:rsidR="00F61174" w:rsidRPr="00484AED" w:rsidRDefault="00F61174" w:rsidP="00156B23">
            <w:r>
              <w:t>Ability to communicate (freely) is fundamental to the purpose of an APSO. Therefore, it is essential to consider cultural, linguistic and communication needs at all points in the process. Practice guidance for registered social workers (Care Council for Wales</w:t>
            </w:r>
            <w:r w:rsidR="00D159AA">
              <w:t>,</w:t>
            </w:r>
            <w:r>
              <w:t xml:space="preserve"> 2015) includes that they should: “</w:t>
            </w:r>
            <w:r w:rsidRPr="00484AED">
              <w:rPr>
                <w:i/>
              </w:rPr>
              <w:t>talk to people with due respect for their age, ethnicity, culture, sexual orientation, gender identity, religion or belief, understanding and needs</w:t>
            </w:r>
            <w:r>
              <w:rPr>
                <w:i/>
              </w:rPr>
              <w:t xml:space="preserve">” </w:t>
            </w:r>
            <w:r w:rsidRPr="00484AED">
              <w:t>(page 9)</w:t>
            </w:r>
            <w:r w:rsidR="00D159AA">
              <w:t>.</w:t>
            </w:r>
          </w:p>
          <w:p w14:paraId="1B5905D7" w14:textId="77777777" w:rsidR="00F61174" w:rsidRDefault="00F61174" w:rsidP="00156B23"/>
          <w:p w14:paraId="4141D65B" w14:textId="77777777" w:rsidR="00F61174" w:rsidRPr="008F0A11" w:rsidRDefault="00F61174" w:rsidP="00156B23">
            <w:pPr>
              <w:spacing w:after="120"/>
              <w:rPr>
                <w:rFonts w:eastAsia="Times New Roman"/>
                <w:szCs w:val="24"/>
                <w:lang w:eastAsia="en-GB"/>
              </w:rPr>
            </w:pPr>
            <w:r w:rsidRPr="007A3F3B">
              <w:t xml:space="preserve">Social services and care providers are required to actively offer and deliver Welsh language services to the same standard as English language services. </w:t>
            </w:r>
            <w:r>
              <w:t xml:space="preserve">The Active Offer </w:t>
            </w:r>
            <w:r w:rsidRPr="00A52D4B">
              <w:rPr>
                <w:rFonts w:eastAsia="Times New Roman"/>
                <w:szCs w:val="24"/>
                <w:lang w:eastAsia="en-GB"/>
              </w:rPr>
              <w:t xml:space="preserve">means moving the responsibility from the </w:t>
            </w:r>
            <w:r>
              <w:rPr>
                <w:rFonts w:eastAsia="Times New Roman"/>
                <w:szCs w:val="24"/>
                <w:lang w:eastAsia="en-GB"/>
              </w:rPr>
              <w:t>person</w:t>
            </w:r>
            <w:r w:rsidRPr="00A52D4B">
              <w:rPr>
                <w:rFonts w:eastAsia="Times New Roman"/>
                <w:szCs w:val="24"/>
                <w:lang w:eastAsia="en-GB"/>
              </w:rPr>
              <w:t xml:space="preserve"> to ask for services through the medium of Welsh, to the service which must ensure it provides them.</w:t>
            </w:r>
          </w:p>
          <w:p w14:paraId="15C94551" w14:textId="77777777" w:rsidR="00F61174" w:rsidRDefault="00F61174" w:rsidP="00156B23">
            <w:r>
              <w:t>Being capable and confident in accessing and using advocacy is also an essential part of being an authorised officer.</w:t>
            </w:r>
          </w:p>
          <w:p w14:paraId="6574E940" w14:textId="77777777" w:rsidR="00F61174" w:rsidRDefault="00F61174" w:rsidP="00156B23"/>
          <w:p w14:paraId="51251843" w14:textId="4D20E3E5" w:rsidR="00F61174" w:rsidRDefault="00F61174" w:rsidP="00156B23">
            <w:r>
              <w:t xml:space="preserve">It is important to note that APSOs contain the words protection and support. Protection, as an element of well-being, is balanced with other elements. Adults should be supported to promote their own well-being and to have their well-being promoted by others. The Mental Capacity Act (MCA) 2005 includes the important principle that adults have a right to make ‘unwise decisions’ i.e. </w:t>
            </w:r>
            <w:r w:rsidR="00FD487C">
              <w:t xml:space="preserve">to </w:t>
            </w:r>
            <w:r>
              <w:t>have preferences that others do not agree with.</w:t>
            </w:r>
          </w:p>
          <w:p w14:paraId="17209E48" w14:textId="77777777" w:rsidR="00F61174" w:rsidRDefault="00F61174" w:rsidP="00156B23"/>
          <w:p w14:paraId="5964DEC3" w14:textId="7CD81BAA" w:rsidR="00F61174" w:rsidRDefault="00F61174" w:rsidP="00156B23">
            <w:r>
              <w:t>The Review of In Safe Hands (</w:t>
            </w:r>
            <w:r>
              <w:rPr>
                <w:lang w:val="en"/>
              </w:rPr>
              <w:t>this policy is now being replaced with new guidance</w:t>
            </w:r>
            <w:r>
              <w:t xml:space="preserve">) and the consultation on the Social Services and Well-being (Wales) Act 2014 identified that people wanted there to be a way of entering premises to protect people. The </w:t>
            </w:r>
            <w:r w:rsidR="00D159AA">
              <w:t xml:space="preserve">review </w:t>
            </w:r>
            <w:r>
              <w:t>surveys found that:</w:t>
            </w:r>
          </w:p>
          <w:p w14:paraId="0DC2B7EF" w14:textId="77777777" w:rsidR="00F61174" w:rsidRPr="00CA6DAD" w:rsidRDefault="00F61174" w:rsidP="006F6EF2">
            <w:pPr>
              <w:pStyle w:val="ListParagraph"/>
              <w:numPr>
                <w:ilvl w:val="0"/>
                <w:numId w:val="12"/>
              </w:numPr>
              <w:ind w:left="460"/>
              <w:rPr>
                <w:szCs w:val="24"/>
              </w:rPr>
            </w:pPr>
            <w:r w:rsidRPr="0078107F">
              <w:rPr>
                <w:lang w:val="en"/>
              </w:rPr>
              <w:t>“</w:t>
            </w:r>
            <w:r w:rsidRPr="00CA6DAD">
              <w:rPr>
                <w:szCs w:val="24"/>
              </w:rPr>
              <w:t xml:space="preserve">Any intervention to protect adults should be the least restrictive possible to their freedom”  92% agreed   (58% strongly agreed)  </w:t>
            </w:r>
          </w:p>
          <w:p w14:paraId="0216FE2E" w14:textId="77777777" w:rsidR="00F61174" w:rsidRPr="00CA6DAD" w:rsidRDefault="00F61174" w:rsidP="006F6EF2">
            <w:pPr>
              <w:pStyle w:val="ListParagraph"/>
              <w:numPr>
                <w:ilvl w:val="0"/>
                <w:numId w:val="12"/>
              </w:numPr>
              <w:ind w:left="460"/>
              <w:rPr>
                <w:szCs w:val="24"/>
              </w:rPr>
            </w:pPr>
            <w:r w:rsidRPr="00CA6DAD">
              <w:rPr>
                <w:szCs w:val="24"/>
              </w:rPr>
              <w:t xml:space="preserve">“Intervention to protect adults should occur where an adult LACKING CAPACITY could not be protected without intervention”  97% agreed  (61% strongly agreed)  </w:t>
            </w:r>
          </w:p>
          <w:p w14:paraId="4721E096" w14:textId="09AA3721" w:rsidR="00F61174" w:rsidRPr="00CA6DAD" w:rsidRDefault="00F61174" w:rsidP="006F6EF2">
            <w:pPr>
              <w:pStyle w:val="ListParagraph"/>
              <w:numPr>
                <w:ilvl w:val="0"/>
                <w:numId w:val="12"/>
              </w:numPr>
              <w:ind w:left="460"/>
              <w:rPr>
                <w:szCs w:val="24"/>
              </w:rPr>
            </w:pPr>
            <w:r w:rsidRPr="00CA6DAD">
              <w:rPr>
                <w:szCs w:val="24"/>
              </w:rPr>
              <w:t xml:space="preserve">“Intervention to protect adults should occur where an adult WITH CAPACITY could not be protected without intervention and is being unduly pressurised not to consent to protection”  92% agreed (33% strongly agreed)   </w:t>
            </w:r>
          </w:p>
          <w:p w14:paraId="79B1A4F8" w14:textId="08223770" w:rsidR="00F61174" w:rsidRDefault="00F61174" w:rsidP="006F6EF2">
            <w:pPr>
              <w:pStyle w:val="ListParagraph"/>
              <w:numPr>
                <w:ilvl w:val="0"/>
                <w:numId w:val="12"/>
              </w:numPr>
              <w:ind w:left="460"/>
              <w:rPr>
                <w:lang w:val="en"/>
              </w:rPr>
            </w:pPr>
            <w:r w:rsidRPr="00CA6DAD">
              <w:rPr>
                <w:szCs w:val="24"/>
              </w:rPr>
              <w:t>“An Adult WITH CAPACITY should have the right to refuse intervention</w:t>
            </w:r>
            <w:r w:rsidRPr="0078107F">
              <w:rPr>
                <w:lang w:val="en"/>
              </w:rPr>
              <w:t xml:space="preserve"> even if such refusal puts them at risk of serious harm” 86% agreed (36% strongly agreed)</w:t>
            </w:r>
            <w:r w:rsidR="00D159AA">
              <w:rPr>
                <w:lang w:val="en"/>
              </w:rPr>
              <w:t>.</w:t>
            </w:r>
            <w:r w:rsidRPr="0078107F">
              <w:rPr>
                <w:lang w:val="en"/>
              </w:rPr>
              <w:t xml:space="preserve"> </w:t>
            </w:r>
          </w:p>
          <w:p w14:paraId="05181675" w14:textId="77777777" w:rsidR="006F6EF2" w:rsidRPr="0078107F" w:rsidRDefault="006F6EF2" w:rsidP="006F6EF2">
            <w:pPr>
              <w:pStyle w:val="ListParagraph"/>
              <w:ind w:left="460"/>
              <w:rPr>
                <w:lang w:val="en"/>
              </w:rPr>
            </w:pPr>
          </w:p>
          <w:p w14:paraId="2DF208B5" w14:textId="77777777" w:rsidR="006F6EF2" w:rsidRDefault="006F6EF2" w:rsidP="00156B23">
            <w:pPr>
              <w:rPr>
                <w:u w:val="single"/>
              </w:rPr>
            </w:pPr>
          </w:p>
          <w:p w14:paraId="244BD712" w14:textId="77777777" w:rsidR="006F6EF2" w:rsidRDefault="006F6EF2" w:rsidP="00156B23">
            <w:pPr>
              <w:rPr>
                <w:u w:val="single"/>
              </w:rPr>
            </w:pPr>
          </w:p>
          <w:p w14:paraId="7DF89152" w14:textId="0C868BBC" w:rsidR="00F61174" w:rsidRPr="00156B23" w:rsidRDefault="00F61174" w:rsidP="00156B23">
            <w:pPr>
              <w:rPr>
                <w:u w:val="single"/>
              </w:rPr>
            </w:pPr>
            <w:r w:rsidRPr="00156B23">
              <w:rPr>
                <w:u w:val="single"/>
              </w:rPr>
              <w:t>Additional information</w:t>
            </w:r>
          </w:p>
          <w:p w14:paraId="43EBEC20" w14:textId="7AB8BD8C" w:rsidR="00F61174" w:rsidRDefault="00F61174" w:rsidP="00156B23">
            <w:r>
              <w:t>The Older People’s Commissioner for Wales published a report in 2015 (</w:t>
            </w:r>
            <w:r w:rsidRPr="006F6EF2">
              <w:rPr>
                <w:i/>
              </w:rPr>
              <w:t>Crimes against, and abuse of, older people in Wales</w:t>
            </w:r>
            <w:r w:rsidR="006F6EF2" w:rsidRPr="006F6EF2">
              <w:rPr>
                <w:i/>
              </w:rPr>
              <w:t xml:space="preserve"> – </w:t>
            </w:r>
            <w:r w:rsidRPr="006F6EF2">
              <w:rPr>
                <w:i/>
              </w:rPr>
              <w:t>Access to support and justice: working together</w:t>
            </w:r>
            <w:r>
              <w:t>)</w:t>
            </w:r>
            <w:r w:rsidR="00D159AA">
              <w:t>,</w:t>
            </w:r>
            <w:r>
              <w:t xml:space="preserve"> which highlights some important points that are very relevant to the use of APSOs:</w:t>
            </w:r>
          </w:p>
          <w:p w14:paraId="4CCE72D9" w14:textId="77777777" w:rsidR="00F61174" w:rsidRPr="006F6EF2" w:rsidRDefault="00F61174" w:rsidP="00156B23">
            <w:pPr>
              <w:rPr>
                <w:b/>
              </w:rPr>
            </w:pPr>
            <w:r w:rsidRPr="006F6EF2">
              <w:rPr>
                <w:b/>
              </w:rPr>
              <w:t>Contact with the perpetrator</w:t>
            </w:r>
          </w:p>
          <w:p w14:paraId="2718C5E7" w14:textId="0B38EFEB" w:rsidR="00F61174" w:rsidRDefault="00F61174" w:rsidP="00F61174">
            <w:pPr>
              <w:pStyle w:val="ListParagraph"/>
              <w:numPr>
                <w:ilvl w:val="0"/>
                <w:numId w:val="8"/>
              </w:numPr>
            </w:pPr>
            <w:r w:rsidRPr="00FF3C23">
              <w:t>The time when the alleged perpetrator was not with the victim provided oppor</w:t>
            </w:r>
            <w:r>
              <w:t xml:space="preserve">tunities for further disclosure from the victim </w:t>
            </w:r>
            <w:r w:rsidRPr="00FF3C23">
              <w:t>and</w:t>
            </w:r>
            <w:r w:rsidR="00D159AA">
              <w:t xml:space="preserve"> </w:t>
            </w:r>
            <w:r w:rsidRPr="00FF3C23">
              <w:t>opportunities</w:t>
            </w:r>
            <w:r w:rsidRPr="00FF3C23">
              <w:tab/>
              <w:t>for</w:t>
            </w:r>
            <w:r>
              <w:t xml:space="preserve"> practitioners to refine </w:t>
            </w:r>
            <w:r w:rsidRPr="00FF3C23">
              <w:t>safety planning.</w:t>
            </w:r>
          </w:p>
          <w:p w14:paraId="7C6CE4F0" w14:textId="77777777" w:rsidR="00F61174" w:rsidRPr="006F6EF2" w:rsidRDefault="00F61174" w:rsidP="00156B23">
            <w:pPr>
              <w:rPr>
                <w:b/>
              </w:rPr>
            </w:pPr>
            <w:r w:rsidRPr="006F6EF2">
              <w:rPr>
                <w:b/>
              </w:rPr>
              <w:t>Coercive control</w:t>
            </w:r>
          </w:p>
          <w:p w14:paraId="7897C9F7" w14:textId="20AB55A2" w:rsidR="00F61174" w:rsidRDefault="00F61174" w:rsidP="00F61174">
            <w:pPr>
              <w:pStyle w:val="ListParagraph"/>
              <w:numPr>
                <w:ilvl w:val="0"/>
                <w:numId w:val="8"/>
              </w:numPr>
            </w:pPr>
            <w:r w:rsidRPr="00FF3C23">
              <w:t>Police and social care ag</w:t>
            </w:r>
            <w:bookmarkStart w:id="0" w:name="_GoBack"/>
            <w:bookmarkEnd w:id="0"/>
            <w:r w:rsidRPr="00FF3C23">
              <w:t xml:space="preserve">encies were aware that face-to-face contact was </w:t>
            </w:r>
            <w:r w:rsidR="006F6EF2">
              <w:br/>
            </w:r>
            <w:r w:rsidRPr="00FF3C23">
              <w:t>more effective than a telephone conversation in establishing whe</w:t>
            </w:r>
            <w:r>
              <w:t xml:space="preserve">ther a victim’s refusal to give consent was </w:t>
            </w:r>
            <w:r w:rsidRPr="00FF3C23">
              <w:t>the</w:t>
            </w:r>
            <w:r>
              <w:t xml:space="preserve"> </w:t>
            </w:r>
            <w:r w:rsidRPr="00FF3C23">
              <w:t>result</w:t>
            </w:r>
            <w:r>
              <w:t xml:space="preserve"> </w:t>
            </w:r>
            <w:r w:rsidRPr="00FF3C23">
              <w:t>of</w:t>
            </w:r>
            <w:r>
              <w:t xml:space="preserve"> undue influence by a perpetrator.</w:t>
            </w:r>
          </w:p>
          <w:p w14:paraId="722BEF74" w14:textId="77777777" w:rsidR="00F61174" w:rsidRPr="006F6EF2" w:rsidRDefault="00F61174" w:rsidP="00156B23">
            <w:pPr>
              <w:rPr>
                <w:b/>
              </w:rPr>
            </w:pPr>
            <w:r w:rsidRPr="006F6EF2">
              <w:rPr>
                <w:b/>
              </w:rPr>
              <w:t>Power to intervene</w:t>
            </w:r>
          </w:p>
          <w:p w14:paraId="1A8E368B" w14:textId="77777777" w:rsidR="00F61174" w:rsidRDefault="00F61174" w:rsidP="00F61174">
            <w:pPr>
              <w:pStyle w:val="ListParagraph"/>
              <w:numPr>
                <w:ilvl w:val="0"/>
                <w:numId w:val="8"/>
              </w:numPr>
            </w:pPr>
            <w:r w:rsidRPr="00FF3C23">
              <w:t xml:space="preserve">Practitioners that understood the use of power, control and coercion by perpetrators towards their victims were supportive of developing far more interventionist approaches to reduce the risk for victims of domestic abuse. </w:t>
            </w:r>
          </w:p>
          <w:p w14:paraId="5CCF40A5" w14:textId="77777777" w:rsidR="00F61174" w:rsidRPr="006F6EF2" w:rsidRDefault="00F61174" w:rsidP="00156B23">
            <w:pPr>
              <w:rPr>
                <w:b/>
              </w:rPr>
            </w:pPr>
            <w:r w:rsidRPr="006F6EF2">
              <w:rPr>
                <w:b/>
              </w:rPr>
              <w:t>Client disengagement</w:t>
            </w:r>
          </w:p>
          <w:p w14:paraId="15EFE517" w14:textId="77777777" w:rsidR="00F61174" w:rsidRDefault="00F61174" w:rsidP="00F61174">
            <w:pPr>
              <w:pStyle w:val="ListParagraph"/>
              <w:numPr>
                <w:ilvl w:val="0"/>
                <w:numId w:val="8"/>
              </w:numPr>
            </w:pPr>
            <w:r w:rsidRPr="00FF3C23">
              <w:t xml:space="preserve">There was a view that more strategies needed to be developed to help </w:t>
            </w:r>
            <w:r>
              <w:t>victims feel safe so they were</w:t>
            </w:r>
            <w:r w:rsidRPr="00FF3C23">
              <w:t xml:space="preserve"> in a position to disclose information about the abuse that they were experiencing.</w:t>
            </w:r>
          </w:p>
          <w:p w14:paraId="2F347375" w14:textId="77777777" w:rsidR="00F61174" w:rsidRDefault="00F61174" w:rsidP="00156B23"/>
          <w:p w14:paraId="0A3E09A7" w14:textId="77777777" w:rsidR="00F61174" w:rsidRDefault="00F61174" w:rsidP="00156B23">
            <w:pPr>
              <w:rPr>
                <w:szCs w:val="36"/>
              </w:rPr>
            </w:pPr>
            <w:r>
              <w:t xml:space="preserve">There is a risk that an APSO could be used when it is not the least restrictive alternative. It could be used when all other options have not been considered. The </w:t>
            </w:r>
            <w:r>
              <w:rPr>
                <w:szCs w:val="36"/>
              </w:rPr>
              <w:t>Minister for Health and Social Services makes the point in his memorandum that:</w:t>
            </w:r>
          </w:p>
          <w:p w14:paraId="0904FD59" w14:textId="77777777" w:rsidR="00F61174" w:rsidRDefault="00F61174" w:rsidP="00156B23">
            <w:pPr>
              <w:rPr>
                <w:i/>
              </w:rPr>
            </w:pPr>
            <w:r>
              <w:rPr>
                <w:i/>
              </w:rPr>
              <w:t>“</w:t>
            </w:r>
            <w:r w:rsidRPr="002D6E26">
              <w:rPr>
                <w:i/>
              </w:rPr>
              <w:t>The intended outcome is that applications to a Justice of the Peace for an Adult Protection and Support Order are made only after all alternative actions to speak in private with the individual have been exhausted before resorting to the use of the legal process.</w:t>
            </w:r>
            <w:r>
              <w:rPr>
                <w:i/>
              </w:rPr>
              <w:t>”</w:t>
            </w:r>
          </w:p>
          <w:p w14:paraId="1F780338" w14:textId="77777777" w:rsidR="00F61174" w:rsidRDefault="00F61174" w:rsidP="00156B23"/>
          <w:p w14:paraId="5A20448C" w14:textId="77777777" w:rsidR="00F61174" w:rsidRDefault="00F61174" w:rsidP="00156B23">
            <w:r>
              <w:t>The APSO guidance talks about the need for the use of an APSO not to undermine people’s control:</w:t>
            </w:r>
          </w:p>
          <w:p w14:paraId="501C4E0C" w14:textId="60945FA6" w:rsidR="00F61174" w:rsidRPr="00F61174" w:rsidRDefault="00F61174" w:rsidP="00156B23">
            <w:pPr>
              <w:rPr>
                <w:i/>
              </w:rPr>
            </w:pPr>
            <w:r w:rsidRPr="004645ED">
              <w:rPr>
                <w:i/>
              </w:rPr>
              <w:t xml:space="preserve">1.18   Section 127(2)(b) states that one of the purposes of the APSO is to ensure that the adult suspected of being at risk is ‘making decisions freely’.  It follows that those involved in the execution of the APSO should ensure that they do not exercise undue influence. They must be aware that the adult suspected of being at risk may feel intimidated by the use of statutory powers and the presence of a number of strangers in their home, including a constable.  An advocate may be necessary to ensure that the person is able to challenge the views of practitioners.   </w:t>
            </w:r>
          </w:p>
          <w:p w14:paraId="68EB1080" w14:textId="7B233914" w:rsidR="00F61174" w:rsidRPr="00EC349B" w:rsidRDefault="00F61174" w:rsidP="00156B23">
            <w:pPr>
              <w:spacing w:before="100" w:beforeAutospacing="1" w:after="100" w:afterAutospacing="1"/>
            </w:pPr>
            <w:r>
              <w:rPr>
                <w:lang w:val="en"/>
              </w:rPr>
              <w:t>When orders were introduced in Scotland there were concerns about intrusion and compulsion. However, early evidence suggested that autonomy and protection have been balanced, particularly through principles of least restrictive alternative and proportional intervention (Preston-Shoot and Cornish</w:t>
            </w:r>
            <w:r w:rsidR="00D159AA">
              <w:rPr>
                <w:lang w:val="en"/>
              </w:rPr>
              <w:t>,</w:t>
            </w:r>
            <w:r>
              <w:rPr>
                <w:lang w:val="en"/>
              </w:rPr>
              <w:t xml:space="preserve"> 2014).</w:t>
            </w:r>
          </w:p>
        </w:tc>
      </w:tr>
    </w:tbl>
    <w:p w14:paraId="096DED5B" w14:textId="466F8800" w:rsidR="00572336" w:rsidRDefault="00572336" w:rsidP="00F61174"/>
    <w:sectPr w:rsidR="00572336" w:rsidSect="006F6EF2">
      <w:headerReference w:type="default" r:id="rId12"/>
      <w:footerReference w:type="default" r:id="rId13"/>
      <w:headerReference w:type="first" r:id="rId14"/>
      <w:footerReference w:type="first" r:id="rId15"/>
      <w:pgSz w:w="11906" w:h="16838"/>
      <w:pgMar w:top="2269"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1DA9A" w14:textId="77777777" w:rsidR="002523DE" w:rsidRDefault="002523DE" w:rsidP="00A60B65">
      <w:r>
        <w:separator/>
      </w:r>
    </w:p>
  </w:endnote>
  <w:endnote w:type="continuationSeparator" w:id="0">
    <w:p w14:paraId="48826128" w14:textId="77777777" w:rsidR="002523DE" w:rsidRDefault="002523DE"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utura Bk"/>
    <w:charset w:val="00"/>
    <w:family w:val="swiss"/>
    <w:pitch w:val="variable"/>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76222"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8229A">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8ADCF"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98229A">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F2F91" w14:textId="77777777" w:rsidR="002523DE" w:rsidRDefault="002523DE" w:rsidP="00A60B65">
      <w:r>
        <w:separator/>
      </w:r>
    </w:p>
  </w:footnote>
  <w:footnote w:type="continuationSeparator" w:id="0">
    <w:p w14:paraId="53BBDBD9" w14:textId="77777777" w:rsidR="002523DE" w:rsidRDefault="002523DE"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82EDC"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56FFDCF" wp14:editId="5A31A698">
          <wp:simplePos x="0" y="0"/>
          <wp:positionH relativeFrom="column">
            <wp:posOffset>4403725</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32475" w14:textId="3958CE23" w:rsidR="000C5390" w:rsidRDefault="006F6EF2">
    <w:pPr>
      <w:pStyle w:val="Header"/>
    </w:pPr>
    <w:r w:rsidRPr="003525D3">
      <w:rPr>
        <w:noProof/>
        <w:lang w:eastAsia="en-GB"/>
      </w:rPr>
      <w:drawing>
        <wp:anchor distT="0" distB="0" distL="114300" distR="114300" simplePos="0" relativeHeight="251656192" behindDoc="1" locked="0" layoutInCell="1" allowOverlap="1" wp14:anchorId="25081FC6" wp14:editId="6A761F59">
          <wp:simplePos x="0" y="0"/>
          <wp:positionH relativeFrom="column">
            <wp:posOffset>3420745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58240" behindDoc="1" locked="0" layoutInCell="1" allowOverlap="1" wp14:anchorId="7C0B65D5" wp14:editId="1EE8F7C6">
          <wp:simplePos x="0" y="0"/>
          <wp:positionH relativeFrom="column">
            <wp:posOffset>-177800</wp:posOffset>
          </wp:positionH>
          <wp:positionV relativeFrom="paragraph">
            <wp:posOffset>-10795</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9" name="Picture 9"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B55"/>
    <w:multiLevelType w:val="hybridMultilevel"/>
    <w:tmpl w:val="27B48AA0"/>
    <w:lvl w:ilvl="0" w:tplc="6344A666">
      <w:start w:val="1"/>
      <w:numFmt w:val="decimal"/>
      <w:lvlText w:val="%1."/>
      <w:lvlJc w:val="left"/>
      <w:pPr>
        <w:ind w:left="360" w:hanging="360"/>
      </w:pPr>
      <w:rPr>
        <w:rFonts w:hint="default"/>
        <w:b w:val="0"/>
        <w:i w:val="0"/>
        <w:color w:val="auto"/>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453A6"/>
    <w:multiLevelType w:val="hybridMultilevel"/>
    <w:tmpl w:val="79D0A814"/>
    <w:lvl w:ilvl="0" w:tplc="9452A85A">
      <w:start w:val="1"/>
      <w:numFmt w:val="bullet"/>
      <w:pStyle w:val="bullet"/>
      <w:lvlText w:val=""/>
      <w:lvlJc w:val="left"/>
      <w:pPr>
        <w:ind w:left="927" w:hanging="360"/>
      </w:pPr>
      <w:rPr>
        <w:rFonts w:ascii="Symbol" w:hAnsi="Symbol" w:hint="default"/>
        <w:b w:val="0"/>
        <w:i w:val="0"/>
        <w:color w:val="00B0F0"/>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26C224B1"/>
    <w:multiLevelType w:val="hybridMultilevel"/>
    <w:tmpl w:val="FFE82C4A"/>
    <w:lvl w:ilvl="0" w:tplc="91560F8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B13D61"/>
    <w:multiLevelType w:val="hybridMultilevel"/>
    <w:tmpl w:val="DA767F1C"/>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57F8101C"/>
    <w:multiLevelType w:val="hybridMultilevel"/>
    <w:tmpl w:val="E7B0D66E"/>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7E0593"/>
    <w:multiLevelType w:val="hybridMultilevel"/>
    <w:tmpl w:val="B7CA71A2"/>
    <w:lvl w:ilvl="0" w:tplc="0809000F">
      <w:start w:val="1"/>
      <w:numFmt w:val="decimal"/>
      <w:lvlText w:val="%1."/>
      <w:lvlJc w:val="left"/>
      <w:pPr>
        <w:ind w:left="360" w:hanging="360"/>
      </w:pPr>
      <w:rPr>
        <w:rFonts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7F565AA"/>
    <w:multiLevelType w:val="hybridMultilevel"/>
    <w:tmpl w:val="1D581AA0"/>
    <w:lvl w:ilvl="0" w:tplc="D80A958E">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11"/>
  </w:num>
  <w:num w:numId="5">
    <w:abstractNumId w:val="12"/>
  </w:num>
  <w:num w:numId="6">
    <w:abstractNumId w:val="3"/>
  </w:num>
  <w:num w:numId="7">
    <w:abstractNumId w:val="2"/>
  </w:num>
  <w:num w:numId="8">
    <w:abstractNumId w:val="4"/>
  </w:num>
  <w:num w:numId="9">
    <w:abstractNumId w:val="10"/>
  </w:num>
  <w:num w:numId="10">
    <w:abstractNumId w:val="0"/>
  </w:num>
  <w:num w:numId="11">
    <w:abstractNumId w:val="8"/>
  </w:num>
  <w:num w:numId="12">
    <w:abstractNumId w:val="7"/>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24D3"/>
    <w:rsid w:val="00027920"/>
    <w:rsid w:val="0003002E"/>
    <w:rsid w:val="0005205D"/>
    <w:rsid w:val="00067FE8"/>
    <w:rsid w:val="00072969"/>
    <w:rsid w:val="000879C6"/>
    <w:rsid w:val="00090064"/>
    <w:rsid w:val="000A19E3"/>
    <w:rsid w:val="000A3CCE"/>
    <w:rsid w:val="000C2A1F"/>
    <w:rsid w:val="000C307D"/>
    <w:rsid w:val="000C33A7"/>
    <w:rsid w:val="000C5390"/>
    <w:rsid w:val="000C7AF1"/>
    <w:rsid w:val="000D6C98"/>
    <w:rsid w:val="000E6DE0"/>
    <w:rsid w:val="000F3CA9"/>
    <w:rsid w:val="000F71C1"/>
    <w:rsid w:val="001055F0"/>
    <w:rsid w:val="00106A7F"/>
    <w:rsid w:val="001145D1"/>
    <w:rsid w:val="00115EE1"/>
    <w:rsid w:val="0011648B"/>
    <w:rsid w:val="00130FC5"/>
    <w:rsid w:val="00132179"/>
    <w:rsid w:val="001414A8"/>
    <w:rsid w:val="00142149"/>
    <w:rsid w:val="00176539"/>
    <w:rsid w:val="00187803"/>
    <w:rsid w:val="001D57E5"/>
    <w:rsid w:val="001F009A"/>
    <w:rsid w:val="002053AB"/>
    <w:rsid w:val="00213728"/>
    <w:rsid w:val="00225372"/>
    <w:rsid w:val="00226AF3"/>
    <w:rsid w:val="002523DE"/>
    <w:rsid w:val="00255D2A"/>
    <w:rsid w:val="0026224C"/>
    <w:rsid w:val="00270704"/>
    <w:rsid w:val="00273E57"/>
    <w:rsid w:val="002867EA"/>
    <w:rsid w:val="0029188E"/>
    <w:rsid w:val="002B1F32"/>
    <w:rsid w:val="002D6D1A"/>
    <w:rsid w:val="002D6DF1"/>
    <w:rsid w:val="00300649"/>
    <w:rsid w:val="00305DD8"/>
    <w:rsid w:val="0031794B"/>
    <w:rsid w:val="00334314"/>
    <w:rsid w:val="003525D3"/>
    <w:rsid w:val="00374A84"/>
    <w:rsid w:val="00383BC9"/>
    <w:rsid w:val="00385223"/>
    <w:rsid w:val="00390B73"/>
    <w:rsid w:val="003927DD"/>
    <w:rsid w:val="00396052"/>
    <w:rsid w:val="00396DF0"/>
    <w:rsid w:val="00396F60"/>
    <w:rsid w:val="003A61EC"/>
    <w:rsid w:val="003D376B"/>
    <w:rsid w:val="003F0362"/>
    <w:rsid w:val="003F0D13"/>
    <w:rsid w:val="003F3341"/>
    <w:rsid w:val="003F3873"/>
    <w:rsid w:val="003F5A4C"/>
    <w:rsid w:val="003F61A3"/>
    <w:rsid w:val="00422104"/>
    <w:rsid w:val="0046294F"/>
    <w:rsid w:val="00471C00"/>
    <w:rsid w:val="004871C7"/>
    <w:rsid w:val="00490356"/>
    <w:rsid w:val="004906B1"/>
    <w:rsid w:val="004A66D6"/>
    <w:rsid w:val="004B3C1B"/>
    <w:rsid w:val="004B7B1B"/>
    <w:rsid w:val="00520F37"/>
    <w:rsid w:val="00523FA3"/>
    <w:rsid w:val="00532992"/>
    <w:rsid w:val="00540719"/>
    <w:rsid w:val="00546569"/>
    <w:rsid w:val="00563E39"/>
    <w:rsid w:val="00572336"/>
    <w:rsid w:val="00582A3D"/>
    <w:rsid w:val="005D358F"/>
    <w:rsid w:val="005F70A4"/>
    <w:rsid w:val="005F7E45"/>
    <w:rsid w:val="00620310"/>
    <w:rsid w:val="00624350"/>
    <w:rsid w:val="00653824"/>
    <w:rsid w:val="00694756"/>
    <w:rsid w:val="006B55EC"/>
    <w:rsid w:val="006E387E"/>
    <w:rsid w:val="006E4991"/>
    <w:rsid w:val="006F6EF2"/>
    <w:rsid w:val="00711F77"/>
    <w:rsid w:val="0071567C"/>
    <w:rsid w:val="0076052D"/>
    <w:rsid w:val="00764700"/>
    <w:rsid w:val="007A0A66"/>
    <w:rsid w:val="007A2579"/>
    <w:rsid w:val="00803080"/>
    <w:rsid w:val="00810563"/>
    <w:rsid w:val="00842CC1"/>
    <w:rsid w:val="00876BD4"/>
    <w:rsid w:val="008B57DE"/>
    <w:rsid w:val="008C5079"/>
    <w:rsid w:val="008D505C"/>
    <w:rsid w:val="008D6D0E"/>
    <w:rsid w:val="008E7123"/>
    <w:rsid w:val="0090739C"/>
    <w:rsid w:val="009143F1"/>
    <w:rsid w:val="00922DAE"/>
    <w:rsid w:val="009357F5"/>
    <w:rsid w:val="00956064"/>
    <w:rsid w:val="0095660B"/>
    <w:rsid w:val="0096416B"/>
    <w:rsid w:val="00966A78"/>
    <w:rsid w:val="0098229A"/>
    <w:rsid w:val="009A013C"/>
    <w:rsid w:val="009D069C"/>
    <w:rsid w:val="00A11033"/>
    <w:rsid w:val="00A1416B"/>
    <w:rsid w:val="00A2075A"/>
    <w:rsid w:val="00A45A79"/>
    <w:rsid w:val="00A516DF"/>
    <w:rsid w:val="00A60B65"/>
    <w:rsid w:val="00AF4D6F"/>
    <w:rsid w:val="00AF58A5"/>
    <w:rsid w:val="00B013D2"/>
    <w:rsid w:val="00B42501"/>
    <w:rsid w:val="00B657B2"/>
    <w:rsid w:val="00B66EEA"/>
    <w:rsid w:val="00B70B7B"/>
    <w:rsid w:val="00BC5279"/>
    <w:rsid w:val="00BC5D28"/>
    <w:rsid w:val="00BC68AD"/>
    <w:rsid w:val="00BD47C9"/>
    <w:rsid w:val="00BF3F9A"/>
    <w:rsid w:val="00C06D15"/>
    <w:rsid w:val="00C33CB5"/>
    <w:rsid w:val="00C37528"/>
    <w:rsid w:val="00C56A02"/>
    <w:rsid w:val="00C57032"/>
    <w:rsid w:val="00C65408"/>
    <w:rsid w:val="00CC2577"/>
    <w:rsid w:val="00CC56C9"/>
    <w:rsid w:val="00D01478"/>
    <w:rsid w:val="00D159AA"/>
    <w:rsid w:val="00D20A4F"/>
    <w:rsid w:val="00D24A65"/>
    <w:rsid w:val="00D25A0F"/>
    <w:rsid w:val="00D32A9B"/>
    <w:rsid w:val="00D53F01"/>
    <w:rsid w:val="00D76AFB"/>
    <w:rsid w:val="00D7779D"/>
    <w:rsid w:val="00D94A6A"/>
    <w:rsid w:val="00D958F5"/>
    <w:rsid w:val="00DA4A6E"/>
    <w:rsid w:val="00DB23EF"/>
    <w:rsid w:val="00DC4B1A"/>
    <w:rsid w:val="00DC4E91"/>
    <w:rsid w:val="00DE4ACB"/>
    <w:rsid w:val="00DF5592"/>
    <w:rsid w:val="00E001FD"/>
    <w:rsid w:val="00E16677"/>
    <w:rsid w:val="00E354E3"/>
    <w:rsid w:val="00E36CBB"/>
    <w:rsid w:val="00E5345F"/>
    <w:rsid w:val="00E57E5D"/>
    <w:rsid w:val="00E70786"/>
    <w:rsid w:val="00E74299"/>
    <w:rsid w:val="00E91747"/>
    <w:rsid w:val="00E96BDC"/>
    <w:rsid w:val="00EB58AA"/>
    <w:rsid w:val="00EE23F5"/>
    <w:rsid w:val="00EE24DA"/>
    <w:rsid w:val="00F17682"/>
    <w:rsid w:val="00F366B1"/>
    <w:rsid w:val="00F61174"/>
    <w:rsid w:val="00F97D0D"/>
    <w:rsid w:val="00FA0525"/>
    <w:rsid w:val="00FA15C4"/>
    <w:rsid w:val="00FA5708"/>
    <w:rsid w:val="00FB0311"/>
    <w:rsid w:val="00FD3949"/>
    <w:rsid w:val="00FD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41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 w:type="paragraph" w:customStyle="1" w:styleId="KeyLPHeading">
    <w:name w:val="Key LP Heading"/>
    <w:basedOn w:val="Normal"/>
    <w:link w:val="KeyLPHeadingChar"/>
    <w:qFormat/>
    <w:rsid w:val="00F61174"/>
    <w:pPr>
      <w:spacing w:before="60" w:line="276" w:lineRule="auto"/>
    </w:pPr>
    <w:rPr>
      <w:b/>
      <w:color w:val="FFFFFF" w:themeColor="background1"/>
    </w:rPr>
  </w:style>
  <w:style w:type="character" w:customStyle="1" w:styleId="KeyLPHeadingChar">
    <w:name w:val="Key LP Heading Char"/>
    <w:basedOn w:val="DefaultParagraphFont"/>
    <w:link w:val="KeyLPHeading"/>
    <w:rsid w:val="00F61174"/>
    <w:rPr>
      <w:rFonts w:ascii="Arial" w:hAnsi="Arial" w:cs="Arial"/>
      <w:b/>
      <w:color w:val="FFFFFF" w:themeColor="background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4"/>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5"/>
      </w:numPr>
    </w:pPr>
  </w:style>
  <w:style w:type="paragraph" w:customStyle="1" w:styleId="bullet">
    <w:name w:val="bullet"/>
    <w:basedOn w:val="Normal"/>
    <w:rsid w:val="008D6D0E"/>
    <w:pPr>
      <w:numPr>
        <w:numId w:val="6"/>
      </w:numPr>
    </w:pPr>
  </w:style>
  <w:style w:type="paragraph" w:customStyle="1" w:styleId="bullet1">
    <w:name w:val="bullet 1"/>
    <w:basedOn w:val="ListParagraph"/>
    <w:qFormat/>
    <w:rsid w:val="003A61EC"/>
    <w:pPr>
      <w:numPr>
        <w:numId w:val="7"/>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CommentReference">
    <w:name w:val="annotation reference"/>
    <w:basedOn w:val="DefaultParagraphFont"/>
    <w:uiPriority w:val="99"/>
    <w:semiHidden/>
    <w:unhideWhenUsed/>
    <w:rsid w:val="00374A84"/>
    <w:rPr>
      <w:sz w:val="16"/>
      <w:szCs w:val="16"/>
    </w:rPr>
  </w:style>
  <w:style w:type="paragraph" w:styleId="CommentText">
    <w:name w:val="annotation text"/>
    <w:basedOn w:val="Normal"/>
    <w:link w:val="CommentTextChar"/>
    <w:uiPriority w:val="99"/>
    <w:semiHidden/>
    <w:unhideWhenUsed/>
    <w:rsid w:val="00374A84"/>
    <w:rPr>
      <w:sz w:val="20"/>
      <w:szCs w:val="20"/>
    </w:rPr>
  </w:style>
  <w:style w:type="character" w:customStyle="1" w:styleId="CommentTextChar">
    <w:name w:val="Comment Text Char"/>
    <w:basedOn w:val="DefaultParagraphFont"/>
    <w:link w:val="CommentText"/>
    <w:uiPriority w:val="99"/>
    <w:semiHidden/>
    <w:rsid w:val="00374A8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74A84"/>
    <w:rPr>
      <w:b/>
      <w:bCs/>
    </w:rPr>
  </w:style>
  <w:style w:type="character" w:customStyle="1" w:styleId="CommentSubjectChar">
    <w:name w:val="Comment Subject Char"/>
    <w:basedOn w:val="CommentTextChar"/>
    <w:link w:val="CommentSubject"/>
    <w:uiPriority w:val="99"/>
    <w:semiHidden/>
    <w:rsid w:val="00374A84"/>
    <w:rPr>
      <w:rFonts w:ascii="Arial" w:hAnsi="Arial" w:cs="Arial"/>
      <w:b/>
      <w:bCs/>
      <w:sz w:val="20"/>
      <w:szCs w:val="20"/>
    </w:rPr>
  </w:style>
  <w:style w:type="character" w:customStyle="1" w:styleId="ListParagraphChar">
    <w:name w:val="List Paragraph Char"/>
    <w:aliases w:val="F5 List Paragraph Char,List Paragraph1 Char"/>
    <w:link w:val="ListParagraph"/>
    <w:uiPriority w:val="99"/>
    <w:locked/>
    <w:rsid w:val="00A1416B"/>
    <w:rPr>
      <w:rFonts w:ascii="Arial" w:hAnsi="Arial" w:cs="Arial"/>
      <w:sz w:val="24"/>
    </w:rPr>
  </w:style>
  <w:style w:type="paragraph" w:customStyle="1" w:styleId="KeyLPHeading">
    <w:name w:val="Key LP Heading"/>
    <w:basedOn w:val="Normal"/>
    <w:link w:val="KeyLPHeadingChar"/>
    <w:qFormat/>
    <w:rsid w:val="00F61174"/>
    <w:pPr>
      <w:spacing w:before="60" w:line="276" w:lineRule="auto"/>
    </w:pPr>
    <w:rPr>
      <w:b/>
      <w:color w:val="FFFFFF" w:themeColor="background1"/>
    </w:rPr>
  </w:style>
  <w:style w:type="character" w:customStyle="1" w:styleId="KeyLPHeadingChar">
    <w:name w:val="Key LP Heading Char"/>
    <w:basedOn w:val="DefaultParagraphFont"/>
    <w:link w:val="KeyLPHeading"/>
    <w:rsid w:val="00F61174"/>
    <w:rPr>
      <w:rFonts w:ascii="Arial" w:hAnsi="Arial" w:cs="Arial"/>
      <w:b/>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AC93-188B-4882-9A69-D9F78B8DF3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10A459-13E0-4F58-92B3-B819ECFD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FDDEFBB-158D-41D2-A84F-1DC9C43EA372}">
  <ds:schemaRefs>
    <ds:schemaRef ds:uri="http://schemas.microsoft.com/sharepoint/v3/contenttype/forms"/>
  </ds:schemaRefs>
</ds:datastoreItem>
</file>

<file path=customXml/itemProps4.xml><?xml version="1.0" encoding="utf-8"?>
<ds:datastoreItem xmlns:ds="http://schemas.openxmlformats.org/officeDocument/2006/customXml" ds:itemID="{4BAB809C-D039-4546-8476-E45C5988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Dartington Hall Trust</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Richardson</dc:creator>
  <cp:lastModifiedBy>Rachel Pitman</cp:lastModifiedBy>
  <cp:revision>8</cp:revision>
  <cp:lastPrinted>2016-07-22T16:57:00Z</cp:lastPrinted>
  <dcterms:created xsi:type="dcterms:W3CDTF">2016-11-21T09:24:00Z</dcterms:created>
  <dcterms:modified xsi:type="dcterms:W3CDTF">2017-02-03T11:09:00Z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