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D7B3" w14:textId="77777777" w:rsidR="00412D67" w:rsidRPr="00412D67" w:rsidRDefault="00412D67" w:rsidP="00412D67">
      <w:pPr>
        <w:pStyle w:val="Heading1"/>
      </w:pPr>
      <w:r w:rsidRPr="00412D67">
        <w:t>Section 19: Lead and manage advocacy services</w:t>
      </w:r>
    </w:p>
    <w:p w14:paraId="618BAC4B" w14:textId="77777777" w:rsidR="00412D67" w:rsidRPr="00412D67" w:rsidRDefault="00412D67" w:rsidP="00412D6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412D67">
        <w:rPr>
          <w:rFonts w:ascii="Arial" w:eastAsia="Calibri" w:hAnsi="Arial" w:cs="Arial"/>
          <w:b/>
          <w:sz w:val="24"/>
          <w:szCs w:val="24"/>
        </w:rPr>
        <w:t xml:space="preserve">Links to unit 540 </w:t>
      </w:r>
      <w:r w:rsidRPr="00412D67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412D67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412D67" w:rsidRPr="00412D67" w14:paraId="34673527" w14:textId="77777777" w:rsidTr="00412D67">
        <w:trPr>
          <w:tblHeader/>
        </w:trPr>
        <w:tc>
          <w:tcPr>
            <w:tcW w:w="5240" w:type="dxa"/>
            <w:shd w:val="clear" w:color="auto" w:fill="auto"/>
          </w:tcPr>
          <w:p w14:paraId="465D90EA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12D67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0E8D286B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12D67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58544851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12D67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412D67" w:rsidRPr="00412D67" w14:paraId="3082430D" w14:textId="77777777" w:rsidTr="00B8396E">
        <w:tc>
          <w:tcPr>
            <w:tcW w:w="5240" w:type="dxa"/>
          </w:tcPr>
          <w:p w14:paraId="766ED7F4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55FB417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38C80FE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03D5150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B653704" w14:textId="77777777" w:rsidR="00412D67" w:rsidRPr="00412D67" w:rsidRDefault="00412D67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4FC5CD6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1053243D" w14:textId="77777777" w:rsidR="00412D67" w:rsidRPr="00412D67" w:rsidRDefault="00412D67" w:rsidP="00412D6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4721"/>
        <w:gridCol w:w="2002"/>
      </w:tblGrid>
      <w:tr w:rsidR="00412D67" w:rsidRPr="00412D67" w14:paraId="4FE9FB79" w14:textId="77777777" w:rsidTr="00412D67">
        <w:tc>
          <w:tcPr>
            <w:tcW w:w="2689" w:type="dxa"/>
            <w:shd w:val="clear" w:color="auto" w:fill="auto"/>
          </w:tcPr>
          <w:p w14:paraId="60A1FBD2" w14:textId="77777777" w:rsidR="00412D67" w:rsidRPr="00412D67" w:rsidRDefault="00412D67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12D67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536" w:type="dxa"/>
            <w:shd w:val="clear" w:color="auto" w:fill="auto"/>
          </w:tcPr>
          <w:p w14:paraId="414681F4" w14:textId="77777777" w:rsidR="00412D67" w:rsidRPr="00412D67" w:rsidRDefault="00412D67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12D67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721" w:type="dxa"/>
            <w:shd w:val="clear" w:color="auto" w:fill="auto"/>
          </w:tcPr>
          <w:p w14:paraId="48F43F3D" w14:textId="77777777" w:rsidR="00412D67" w:rsidRPr="00412D67" w:rsidRDefault="00412D67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12D67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5D2AD994" w14:textId="77777777" w:rsidR="00412D67" w:rsidRPr="00412D67" w:rsidRDefault="00412D67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12D67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412D67" w:rsidRPr="00412D67" w14:paraId="32D3CE85" w14:textId="77777777" w:rsidTr="00FE67B3">
        <w:tc>
          <w:tcPr>
            <w:tcW w:w="13948" w:type="dxa"/>
            <w:gridSpan w:val="4"/>
          </w:tcPr>
          <w:p w14:paraId="39FDF916" w14:textId="77777777" w:rsidR="00412D67" w:rsidRPr="00412D67" w:rsidRDefault="00412D67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412D67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67CCB1F4" w14:textId="77777777" w:rsidR="00412D67" w:rsidRPr="00412D67" w:rsidRDefault="00412D67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412D67" w:rsidRPr="00412D67" w14:paraId="388BD0A4" w14:textId="77777777" w:rsidTr="00B8396E">
        <w:tc>
          <w:tcPr>
            <w:tcW w:w="2689" w:type="dxa"/>
          </w:tcPr>
          <w:p w14:paraId="02A6A3A1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412D67">
              <w:rPr>
                <w:rFonts w:eastAsia="Calibri"/>
                <w:sz w:val="24"/>
                <w:szCs w:val="24"/>
              </w:rPr>
              <w:t>Development of understanding of independent advocacy</w:t>
            </w:r>
          </w:p>
          <w:p w14:paraId="4DE00CC3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56744D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14:paraId="3AB88830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44D6796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12D67" w:rsidRPr="00412D67" w14:paraId="6FD02B39" w14:textId="77777777" w:rsidTr="00B8396E">
        <w:tc>
          <w:tcPr>
            <w:tcW w:w="2689" w:type="dxa"/>
          </w:tcPr>
          <w:p w14:paraId="66CFF3AD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412D67">
              <w:rPr>
                <w:rFonts w:eastAsia="Calibri"/>
                <w:sz w:val="24"/>
                <w:szCs w:val="24"/>
              </w:rPr>
              <w:t xml:space="preserve">Application of legislative requirements relating to the provision of </w:t>
            </w:r>
            <w:r w:rsidRPr="00412D67">
              <w:rPr>
                <w:rFonts w:eastAsia="Calibri"/>
                <w:sz w:val="24"/>
                <w:szCs w:val="24"/>
              </w:rPr>
              <w:lastRenderedPageBreak/>
              <w:t>independent advocacy services</w:t>
            </w:r>
          </w:p>
          <w:p w14:paraId="52C4145B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4DBF19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14:paraId="0CA90C55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C4AE215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12D67" w:rsidRPr="00412D67" w14:paraId="0005C0F2" w14:textId="77777777" w:rsidTr="00B8396E">
        <w:tc>
          <w:tcPr>
            <w:tcW w:w="2689" w:type="dxa"/>
          </w:tcPr>
          <w:p w14:paraId="2017239E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412D67">
              <w:rPr>
                <w:rFonts w:eastAsia="Calibri"/>
                <w:sz w:val="24"/>
                <w:szCs w:val="24"/>
              </w:rPr>
              <w:t>The advocacy process</w:t>
            </w:r>
          </w:p>
          <w:p w14:paraId="32BE2C41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B49ADF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14:paraId="5FA62E02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53FEA22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12D67" w:rsidRPr="00412D67" w14:paraId="72F93CE4" w14:textId="77777777" w:rsidTr="00B8396E">
        <w:tc>
          <w:tcPr>
            <w:tcW w:w="2689" w:type="dxa"/>
          </w:tcPr>
          <w:p w14:paraId="77C7A5EE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412D67">
              <w:rPr>
                <w:rFonts w:eastAsia="Calibri"/>
                <w:sz w:val="24"/>
                <w:szCs w:val="24"/>
              </w:rPr>
              <w:t>Use of systemic advocacy to influence change</w:t>
            </w:r>
          </w:p>
          <w:p w14:paraId="41358722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8E0BBA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14:paraId="0D64B963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C28C422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12D67" w:rsidRPr="00412D67" w14:paraId="7DA15F02" w14:textId="77777777" w:rsidTr="00B8396E">
        <w:tc>
          <w:tcPr>
            <w:tcW w:w="2689" w:type="dxa"/>
          </w:tcPr>
          <w:p w14:paraId="5EA1F06F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412D67">
              <w:rPr>
                <w:rFonts w:eastAsia="Calibri"/>
                <w:sz w:val="24"/>
                <w:szCs w:val="24"/>
              </w:rPr>
              <w:t>Development of commissioning relationships which uphold key advocacy principles</w:t>
            </w:r>
          </w:p>
          <w:p w14:paraId="0591CB0A" w14:textId="77777777" w:rsidR="00412D67" w:rsidRPr="00412D67" w:rsidRDefault="00412D67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26E3A6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14:paraId="7FF826CD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F57BF5" w14:textId="77777777" w:rsidR="00412D67" w:rsidRPr="00412D67" w:rsidRDefault="00412D67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412D67" w:rsidRDefault="00D241FD" w:rsidP="00412D67">
      <w:pPr>
        <w:rPr>
          <w:rFonts w:ascii="Arial" w:hAnsi="Arial" w:cs="Arial"/>
          <w:sz w:val="24"/>
          <w:szCs w:val="24"/>
        </w:rPr>
      </w:pPr>
    </w:p>
    <w:sectPr w:rsidR="00D241FD" w:rsidRPr="00412D67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72208"/>
    <w:rsid w:val="002B6EB1"/>
    <w:rsid w:val="002E45F8"/>
    <w:rsid w:val="00412D67"/>
    <w:rsid w:val="004C3F58"/>
    <w:rsid w:val="004D6C7B"/>
    <w:rsid w:val="005310FE"/>
    <w:rsid w:val="00545CA1"/>
    <w:rsid w:val="00547160"/>
    <w:rsid w:val="00552372"/>
    <w:rsid w:val="0063690C"/>
    <w:rsid w:val="00651B65"/>
    <w:rsid w:val="00673037"/>
    <w:rsid w:val="00690958"/>
    <w:rsid w:val="006B064D"/>
    <w:rsid w:val="00777728"/>
    <w:rsid w:val="00783296"/>
    <w:rsid w:val="007A1E74"/>
    <w:rsid w:val="008076E1"/>
    <w:rsid w:val="00980D8F"/>
    <w:rsid w:val="009D7010"/>
    <w:rsid w:val="00AD5BE8"/>
    <w:rsid w:val="00AD6975"/>
    <w:rsid w:val="00B00C5F"/>
    <w:rsid w:val="00B73F5B"/>
    <w:rsid w:val="00CB6334"/>
    <w:rsid w:val="00D241FD"/>
    <w:rsid w:val="00D701C5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2020-11-23T13:27:00Z</dcterms:created>
  <dcterms:modified xsi:type="dcterms:W3CDTF">2020-11-23T13:28:00Z</dcterms:modified>
</cp:coreProperties>
</file>